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Calibri" w:hAnsi="Calibri" w:eastAsia="微软雅黑"/>
          <w:b/>
          <w:color w:val="1F3A5F"/>
          <w:sz w:val="36"/>
        </w:rPr>
        <w:t>金融投研 Skills</w:t>
      </w:r>
    </w:p>
    <w:p>
      <w:pPr>
        <w:spacing w:before="0" w:after="160" w:line="259" w:lineRule="auto"/>
        <w:jc w:val="center"/>
      </w:pPr>
      <w:r>
        <w:rPr>
          <w:rFonts w:ascii="Calibri" w:hAnsi="Calibri" w:eastAsia="微软雅黑"/>
          <w:b w:val="0"/>
          <w:color w:val="555555"/>
          <w:sz w:val="20"/>
        </w:rPr>
        <w:t>殷维 ｜ yw43@foxmail.com ｜ 15671678098</w:t>
      </w:r>
    </w:p>
    <w:p>
      <w:pPr>
        <w:spacing w:before="20" w:after="80" w:line="259" w:lineRule="auto"/>
      </w:pPr>
      <w:r>
        <w:rPr>
          <w:rFonts w:ascii="Calibri" w:hAnsi="Calibri" w:eastAsia="微软雅黑"/>
          <w:b w:val="0"/>
          <w:color w:val="222222"/>
          <w:sz w:val="22"/>
        </w:rPr>
        <w:t>下面两份是给 Agent 用的说明书：目标、步骤、验收字段写死，便于稳定复跑。只保留 Skill 本身，以及跑 Skill 需要的判定规则和落盘样例。</w:t>
      </w:r>
    </w:p>
    <w:p>
      <w:pPr>
        <w:spacing w:before="240" w:after="120" w:line="259" w:lineRule="auto"/>
        <w:pBdr>
          <w:bottom w:val="single" w:sz="8" w:space="1" w:color="1F3A5F"/>
        </w:pBdr>
      </w:pPr>
      <w:r>
        <w:rPr>
          <w:rFonts w:ascii="Calibri" w:hAnsi="Calibri" w:eastAsia="微软雅黑"/>
          <w:b/>
          <w:color w:val="1F3A5F"/>
          <w:sz w:val="26"/>
        </w:rPr>
        <w:t>Skill 1　盘中热点板块监控</w:t>
      </w:r>
    </w:p>
    <w:p>
      <w:pPr>
        <w:spacing w:before="80" w:after="120" w:line="259" w:lineRule="auto"/>
        <w:ind w:left="142"/>
        <w:shd w:val="clear" w:color="auto" w:fill="F4F6F8"/>
      </w:pPr>
      <w:r>
        <w:rPr>
          <w:rFonts w:ascii="Calibri" w:hAnsi="Calibri" w:eastAsia="微软雅黑"/>
          <w:b w:val="0"/>
          <w:color w:val="222222"/>
          <w:sz w:val="18"/>
        </w:rPr>
        <w:t>name: 盘中热点板块监控</w:t>
        <w:br/>
        <w:t>适用：用户提到盘中热点、概念涨停、涨停监控、启停分钟热度表。</w:t>
        <w:br/>
        <w:br/>
        <w:t>目标：交易时段监控全市场涨停，按概念板块输出热度；落盘分钟 CSV 供复盘。</w:t>
        <w:br/>
        <w:br/>
        <w:t>行为要点</w:t>
        <w:br/>
        <w:t>- 约 3 秒检测新增涨停；约 1 分钟输出概念统计并追加当日热度表。</w:t>
        <w:br/>
        <w:t>- 屏幕显示前 30 个有涨停的概念；落盘表含全部概念（含 0 涨停）。</w:t>
        <w:br/>
        <w:t>- 交易时段：09:25–11:30、13:00–15:00；周末不跑。</w:t>
        <w:br/>
        <w:t>- 工作日开盘前启动、收盘后停止。</w:t>
        <w:br/>
        <w:t>- 涨停阈值按主板 / 创业板科创板 / 北交所 / ST 区分。</w:t>
        <w:br/>
        <w:br/>
        <w:t>验收</w:t>
        <w:br/>
        <w:t>- 进程在交易时段存活；当日热度表持续追加。</w:t>
        <w:br/>
        <w:t>- 表头固定：时间、概念板块、涨停数、较上分钟、今日峰值、新增、开板。</w:t>
        <w:br/>
        <w:t>- 分析时按时间切片，对涨停数降序取 Top；同时看较上分钟、峰值、新增、开板。</w:t>
      </w:r>
    </w:p>
    <w:p>
      <w:pPr>
        <w:spacing w:before="160" w:after="60" w:line="259" w:lineRule="auto"/>
      </w:pPr>
      <w:r>
        <w:rPr>
          <w:rFonts w:ascii="Calibri" w:hAnsi="Calibri" w:eastAsia="微软雅黑"/>
          <w:b/>
          <w:color w:val="1F3A5F"/>
          <w:sz w:val="24"/>
        </w:rPr>
        <w:t>涨停判定（Skill 内规则）</w:t>
      </w:r>
    </w:p>
    <w:p>
      <w:pPr>
        <w:spacing w:before="20" w:after="80" w:line="259" w:lineRule="auto"/>
      </w:pPr>
      <w:r>
        <w:rPr>
          <w:rFonts w:ascii="Calibri" w:hAnsi="Calibri" w:eastAsia="微软雅黑"/>
          <w:b w:val="0"/>
          <w:color w:val="222222"/>
          <w:sz w:val="20"/>
        </w:rPr>
        <w:t>按代码前缀区分板块；ST 按证券简称判断，不按代码字符串。</w:t>
      </w:r>
    </w:p>
    <w:p>
      <w:pPr>
        <w:spacing w:before="80" w:after="120" w:line="259" w:lineRule="auto"/>
        <w:ind w:left="142"/>
        <w:shd w:val="clear" w:color="auto" w:fill="F4F6F8"/>
      </w:pPr>
      <w:r>
        <w:rPr>
          <w:rFonts w:ascii="Calibri" w:hAnsi="Calibri" w:eastAsia="微软雅黑"/>
          <w:b w:val="0"/>
          <w:color w:val="222222"/>
          <w:sz w:val="18"/>
        </w:rPr>
        <w:t>def get_limit_up_threshold(pre_close, stock_code, stock_name):</w:t>
        <w:br/>
        <w:t xml:space="preserve">    # 科创板 688/689、创业板 300 → 20%</w:t>
        <w:br/>
        <w:t xml:space="preserve">    if stock_code.startswith(('688', '689', '300')):</w:t>
        <w:br/>
        <w:t xml:space="preserve">        return pre_close * 1.20</w:t>
        <w:br/>
        <w:t xml:space="preserve">    # 北交所 8/4 开头 → 30%</w:t>
        <w:br/>
        <w:t xml:space="preserve">    if stock_code.startswith(('8', '4')):</w:t>
        <w:br/>
        <w:t xml:space="preserve">        return pre_close * 1.30</w:t>
        <w:br/>
        <w:t xml:space="preserve">    # ST / *ST → 5%</w:t>
        <w:br/>
        <w:t xml:space="preserve">    if 'ST' in (stock_name or '').upper():</w:t>
        <w:br/>
        <w:t xml:space="preserve">        return pre_close * 1.05</w:t>
        <w:br/>
        <w:t xml:space="preserve">    # 主板 → 10%</w:t>
        <w:br/>
        <w:t xml:space="preserve">    return pre_close * 1.10</w:t>
      </w:r>
    </w:p>
    <w:p>
      <w:pPr>
        <w:spacing w:before="20" w:after="80" w:line="259" w:lineRule="auto"/>
      </w:pPr>
      <w:r>
        <w:rPr>
          <w:rFonts w:ascii="Calibri" w:hAnsi="Calibri" w:eastAsia="微软雅黑"/>
          <w:b w:val="0"/>
          <w:color w:val="222222"/>
          <w:sz w:val="20"/>
        </w:rPr>
        <w:t>线上脚本可用 19.5%/9.5% 容差做盘中预警。正式验收用整阈值（10/20/30/5），涨幅卡在 19.99% 的样本必须判「未涨停」。</w:t>
      </w:r>
    </w:p>
    <w:p>
      <w:pPr>
        <w:spacing w:before="160" w:after="60" w:line="259" w:lineRule="auto"/>
      </w:pPr>
      <w:r>
        <w:rPr>
          <w:rFonts w:ascii="Calibri" w:hAnsi="Calibri" w:eastAsia="微软雅黑"/>
          <w:b/>
          <w:color w:val="1F3A5F"/>
          <w:sz w:val="24"/>
        </w:rPr>
        <w:t>落盘样例｜2026-08-21 09:25 开盘附近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概念板块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涨停数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较上分钟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今日峰值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新增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开板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*ST威领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幽门螺杆菌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双鹭药业, 汉森制药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锂矿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*ST威领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减肥药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双鹭药业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智能医疗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双鹭药业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特斯拉概念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虚拟电厂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算力租赁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</w:tbl>
    <w:p/>
    <w:p>
      <w:pPr>
        <w:spacing w:before="160" w:after="60" w:line="259" w:lineRule="auto"/>
      </w:pPr>
      <w:r>
        <w:rPr>
          <w:rFonts w:ascii="Calibri" w:hAnsi="Calibri" w:eastAsia="微软雅黑"/>
          <w:b/>
          <w:color w:val="1F3A5F"/>
          <w:sz w:val="24"/>
        </w:rPr>
        <w:t>落盘样例｜同日「储能」连续分钟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概念板块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涨停数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较上分钟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今日峰值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新增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开板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09:25:08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*ST威领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09:26:02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09:27:02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09:28:00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09:29:00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09:30:03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09:31:02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福华尚纬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2026-08-21 09:32:01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储能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</w:t>
            </w:r>
          </w:p>
        </w:tc>
      </w:tr>
    </w:tbl>
    <w:p/>
    <w:p>
      <w:pPr>
        <w:spacing w:before="240" w:after="120" w:line="259" w:lineRule="auto"/>
        <w:pBdr>
          <w:bottom w:val="single" w:sz="8" w:space="1" w:color="1F3A5F"/>
        </w:pBdr>
      </w:pPr>
      <w:r>
        <w:rPr>
          <w:rFonts w:ascii="Calibri" w:hAnsi="Calibri" w:eastAsia="微软雅黑"/>
          <w:b/>
          <w:color w:val="1F3A5F"/>
          <w:sz w:val="26"/>
        </w:rPr>
        <w:t>Skill 2　巨潮净利润采集</w:t>
      </w:r>
    </w:p>
    <w:p>
      <w:pPr>
        <w:spacing w:before="80" w:after="120" w:line="259" w:lineRule="auto"/>
        <w:ind w:left="142"/>
        <w:shd w:val="clear" w:color="auto" w:fill="F4F6F8"/>
      </w:pPr>
      <w:r>
        <w:rPr>
          <w:rFonts w:ascii="Calibri" w:hAnsi="Calibri" w:eastAsia="微软雅黑"/>
          <w:b w:val="0"/>
          <w:color w:val="222222"/>
          <w:sz w:val="18"/>
        </w:rPr>
        <w:t>name: 巨潮净利润采集</w:t>
        <w:br/>
        <w:t>适用：用户提到巨潮、业绩预告、归母净利润、变动幅度、业绩快报。</w:t>
        <w:br/>
        <w:br/>
        <w:t>目标：按指定日期拉取业绩预告，提取归母净利润（万元）与变动幅度（%），导出表格后再做财务价值筛选。</w:t>
        <w:br/>
        <w:br/>
        <w:t>执行步骤</w:t>
        <w:br/>
        <w:t>1. 依赖：requests、pandas；东财兜底可选。</w:t>
        <w:br/>
        <w:t>2. 写入要跑的日期列表后执行采集脚本。</w:t>
        <w:br/>
        <w:t>3. 检查当日目录是否同时出现「业绩预告表」和「业绩价值表」。</w:t>
        <w:br/>
        <w:br/>
        <w:t>解析优先级（勿改乱序）：PDF → 东财接口 → 标题推断。</w:t>
        <w:br/>
        <w:br/>
        <w:t>业绩预告表字段：公告ID、股票代码、股票简称、公告类型、公告标题、公告时间、公告pdf、归母净利润（万元）、归母净利润变动幅度（%）、变动幅度展示、预告类型、业绩变动原因、数据来源。</w:t>
        <w:br/>
        <w:br/>
        <w:t>价值筛选摘要：负债可控、现金为正、ROE 非负，且 ROE&gt;8% 或较上年改善。</w:t>
      </w:r>
    </w:p>
    <w:p>
      <w:pPr>
        <w:spacing w:before="160" w:after="60" w:line="259" w:lineRule="auto"/>
      </w:pPr>
      <w:r>
        <w:rPr>
          <w:rFonts w:ascii="Calibri" w:hAnsi="Calibri" w:eastAsia="微软雅黑"/>
          <w:b/>
          <w:color w:val="1F3A5F"/>
          <w:sz w:val="24"/>
        </w:rPr>
        <w:t>解析优先级（Skill 内规则，乱序即错）</w:t>
      </w:r>
    </w:p>
    <w:p>
      <w:pPr>
        <w:spacing w:before="0" w:after="40" w:line="259" w:lineRule="auto"/>
        <w:ind w:left="227"/>
      </w:pPr>
      <w:r>
        <w:rPr>
          <w:rFonts w:ascii="Calibri" w:hAnsi="Calibri" w:eastAsia="微软雅黑"/>
          <w:b w:val="0"/>
          <w:color w:val="222222"/>
          <w:sz w:val="22"/>
        </w:rPr>
        <w:t>• 1. PDF 表格抽取归母净利润、变动幅度。</w:t>
      </w:r>
    </w:p>
    <w:p>
      <w:pPr>
        <w:spacing w:before="0" w:after="40" w:line="259" w:lineRule="auto"/>
        <w:ind w:left="227"/>
      </w:pPr>
      <w:r>
        <w:rPr>
          <w:rFonts w:ascii="Calibri" w:hAnsi="Calibri" w:eastAsia="微软雅黑"/>
          <w:b w:val="0"/>
          <w:color w:val="222222"/>
          <w:sz w:val="22"/>
        </w:rPr>
        <w:t>• 2. PDF 失败：东财业绩预告接口补数字，来源记 eastmoney。</w:t>
      </w:r>
    </w:p>
    <w:p>
      <w:pPr>
        <w:spacing w:before="0" w:after="40" w:line="259" w:lineRule="auto"/>
        <w:ind w:left="227"/>
      </w:pPr>
      <w:r>
        <w:rPr>
          <w:rFonts w:ascii="Calibri" w:hAnsi="Calibri" w:eastAsia="微软雅黑"/>
          <w:b w:val="0"/>
          <w:color w:val="222222"/>
          <w:sz w:val="22"/>
        </w:rPr>
        <w:t>• 3. 仍缺增速：标题推断或标记预告类型，禁止用 0 填缺失。</w:t>
      </w:r>
    </w:p>
    <w:p>
      <w:pPr>
        <w:spacing w:before="0" w:after="40" w:line="259" w:lineRule="auto"/>
        <w:ind w:left="227"/>
      </w:pPr>
      <w:r>
        <w:rPr>
          <w:rFonts w:ascii="Calibri" w:hAnsi="Calibri" w:eastAsia="微软雅黑"/>
          <w:b w:val="0"/>
          <w:color w:val="222222"/>
          <w:sz w:val="22"/>
        </w:rPr>
        <w:t>• 预告与快报并存时保留两行，用类型字段区分，禁止合成一条。日期用公告披露日。</w:t>
      </w:r>
    </w:p>
    <w:p>
      <w:pPr>
        <w:spacing w:before="20" w:after="80" w:line="259" w:lineRule="auto"/>
      </w:pPr>
      <w:r>
        <w:rPr>
          <w:rFonts w:ascii="Calibri" w:hAnsi="Calibri" w:eastAsia="微软雅黑"/>
          <w:b w:val="0"/>
          <w:color w:val="222222"/>
          <w:sz w:val="20"/>
        </w:rPr>
        <w:t>列表接口没有摘要，标题也常常没有增速，所以必须先下 PDF，不能只扫标题。</w:t>
      </w:r>
    </w:p>
    <w:p>
      <w:pPr>
        <w:spacing w:before="160" w:after="60" w:line="259" w:lineRule="auto"/>
      </w:pPr>
      <w:r>
        <w:rPr>
          <w:rFonts w:ascii="Calibri" w:hAnsi="Calibri" w:eastAsia="微软雅黑"/>
          <w:b/>
          <w:color w:val="1F3A5F"/>
          <w:sz w:val="24"/>
        </w:rPr>
        <w:t>落盘样例｜2026-07-14 业绩预告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简称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归母净利(万元)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变动%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展示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442"/>
            <w:shd w:fill="1F3A5F" w:val="clea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标题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300118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东方日升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230000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24.33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+24.33%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pdf+em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302132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中航成飞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340000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2927.37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+2927.37%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pdf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300862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蓝盾光电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7000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1179.36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+1179.36%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pdf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300971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博亚精工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8000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82.68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+82.68%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pdf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300323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华灿光电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-45000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26.37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+26.37%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eastmoney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300107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建新股份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-2450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-226.52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-226.51%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eastmoney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301110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青木科技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11770.18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30.00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+30.00%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pdf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300672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国科微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-21500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-321.30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-321.30%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eastmoney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300061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旗天科技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9500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55.65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+55.65%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pdf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  <w:tr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300497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富祥药业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-4800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82.36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+82.36%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eastmoney</w:t>
            </w:r>
          </w:p>
        </w:tc>
        <w:tc>
          <w:tcPr>
            <w:tcW w:type="dxa" w:w="1442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微软雅黑"/>
                <w:b w:val="0"/>
                <w:color w:val="222222"/>
                <w:sz w:val="16"/>
              </w:rPr>
              <w:t>2025年度业绩预告</w:t>
            </w:r>
          </w:p>
        </w:tc>
      </w:tr>
    </w:tbl>
    <w:p/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