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color w:val="1F3A5F"/>
          <w:sz w:val="32"/>
        </w:rPr>
        <w:t>Yin Wei</w:t>
      </w:r>
    </w:p>
    <w:p>
      <w:pPr>
        <w:spacing w:before="0" w:after="0" w:line="240" w:lineRule="auto"/>
        <w:jc w:val="center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color w:val="555555"/>
          <w:sz w:val="19"/>
        </w:rPr>
        <w:t>Female  |  Age 31  |  CPC Member  |  Wuhan, Hubei  |  Master's in Finance  |  15671678098  |  yw43@foxmail.com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Work Experience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Hubei Zhengzhi Asset Management Co., Ltd. (private fund; AMAC P1007881)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AI Investment Research Manager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Jun 2026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the investment-research workspace around workflows and a knowledge base to support the team's AI rollout. Compared Coze and other AI tools across multiple devices and clients, selected the stack, and launched Investment-Research Workflow 1.0 and Quantitative Trading System 1.0 in the research setting, including automated single-stock research notes.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Sent market-data updates to research colleagues: scanned for unusual intraday volume and pushed watchlist highlights at the morning, midday, and afternoon close sessions to support trading decisions.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Produced an "AI retreat report" on tech-versus-growth style rotations, connected it to the Wind API, and sent an automatically refreshed daily brief.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Quantitative Research Studio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Secondary-Market Researcher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Mar 2024 – Jun 2026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Combined macroeconomic and industry frameworks to study thematic rotation and supplied the logic used to set strategy tone.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Built a standardized fundamental stock-selection AI model, constructed a quarterly core universe, and refined entry and exit references with short-term technical indicators.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Jiangxi Copper Financial Holdings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Investment Management</w:t>
      </w:r>
      <w:r>
        <w:rPr>
          <w:rFonts w:ascii="Calibri" w:hAnsi="Calibri" w:eastAsia="微软雅黑"/>
          <w:b w:val="0"/>
          <w:color w:val="555555"/>
          <w:sz w:val="18"/>
        </w:rPr>
        <w:t xml:space="preserve">    Oct 2023 – Feb 2024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Designed questionnaires, conducted on-site due diligence on quantitative managers in Beijing, Shanghai, Guangzhou, and Shenzhen, and wrote manager due-diligence reports.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Liangying Private Fund Management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Quantitative Researcher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Jan 2022 – Sep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Mined futures and equity factors, developed and backtested strategies, and reviewed the results for further optimization.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Replicated sell-side financial-engineering strategy reports in Python at the portfolio manager's request.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Shenzhen Gravity Wave Quantitative Technology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Market-Making Product Manager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Aug 2020 – Dec 2021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Worked directly with the exchange. Translated order-book display requirements into executable parameters: price placement from bid one through bid five, size at each level, and the interval in seconds for sequential quoting.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Implemented and launched the quoting program in Python on the exchange API; built physical and strategy-level risk controls; monitored the book and, in extreme markets, canceled orders and flattened positions by trading in the opposite direction.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Retrieved and cleaned trading data (Pandas, NumPy, TA-Lib) and tracked arbitrage P&amp;L on the market-making project.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Ping An Property &amp; Casualty Insurance Company of China,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Reinsurance Administration (Management Trainee)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Jul 2019 – Jul 2020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Used Excel to update and review reinsurer credit files monthly, book quarterly bad-debt provisions, monitor risk indicators, and consolidate related-party and non-related-party transaction data.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Education</w:t>
      </w:r>
    </w:p>
    <w:p>
      <w:pPr>
        <w:spacing w:before="2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Sep 2017 – Jun 2019    Huazhong University of Science and Technology    Finance    Master's (full-time)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Sep 2013 – Jun 2017    Wuhan University of Science and Technology    Mechanical Engineering    Bachelor's (full-time)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Projects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Investment-Research AI: Turning Requests into Decision Support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Jun 2026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Used AI to turn research-note generation, announcements, and market scans into runnable workflows, and turned colleagues' requests into reusable processes and systems.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the team's research platform—daily workflows, AI research workflows, and a knowledge base—and connected the workspace end to end. Helped the team keep an AI-supported audit trail, archive work, collaborate, and conduct research.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Deployed AI-generated research notes and market reviews to a research agent and pushed them to WeChat and Feishu each day.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Parsed market data (intraday volume-spike scans) and pushed the watchlist by session.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Equity Investment Research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Mar 2024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Used Cursor and other AI agents to build a multi-factor stock-analysis framework covering fundamentals, sentiment, and technicals: parsing market data, organizing the logic, and attributing earnings to support strategy research.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a filings-data pipeline that pulls A-share fundamentals through Tushare and computes related factor values.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Wrote crawlers for earnings pre-announcements and flash reports, and designed a real-time hot-concept dashboard.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The work deepened understanding of fundamentals, short-term technical patterns, and sentiment cycles, and turned research ideas into checkable stock-selection rules.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Short-Term Long-Only Equity Strategy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Jul 2022 – Feb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Developed a short-term long-only equity strategy on the GoldMiner platform. Combined minute-level sector factors with daily price-volume factors for timing and selection, then ran the strategy in live trading. Mined six factors; a three-factor combination performed best.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Combined price-volume relationships into timing and selection factors, designed entry and exit rules, and backtested parameter and factor combinations.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Wrote a live-trading version and connected it to GoldMiner's daily data updates.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In-sample backtest: 2% maximum drawdown, 17.14% annualized return, and a Sharpe ratio of 3.4.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Financial-Engineering Report Replication</w:t>
      </w:r>
      <w:r>
        <w:rPr>
          <w:rFonts w:ascii="Calibri" w:hAnsi="Calibri" w:eastAsia="微软雅黑"/>
          <w:b w:val="0"/>
          <w:color w:val="555555"/>
          <w:sz w:val="18"/>
        </w:rPr>
        <w:t xml:space="preserve">    Nov 2022 – Jan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Replicated the financial-engineering report “3M Sector Rotation Strategy” in Python using the Wind database.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Studied the report, collected the relevant micro-level data from Wind, and implemented the factor algorithms.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Micro-factor data collection and cross-sectional factor outputs were completed.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Futures CTA Strategy Research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Jan 2022 – Mar 2022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Developed and optimized a futures pattern-recognition strategy in Python with TBQuant.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Connected TBQuant to Python for data processing and handoff, and built a pattern-recognition algorithm based on topological spatial-structure distance.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Applied the strategy to index futures and refined the backtest, the strategy, and its parameters.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An index-futures backtest from 2012 through 2018 was positive in each of the seven years, with an annualized return of 80%.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Market-Making Project: Requirements → Quoting Design → Launch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Dec 2020 – Dec 2021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Provided liquidity to an exchange, covering requirements, design, and implementation end to end.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Aligned with the exchange on liquidity targets and order-book shape, and designed quoting-sequence parameters so that five-level prices, sizes, and stagger timing stayed close to a live market.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Implemented and launched the program in Python; paired physical and programmatic risk controls; monitored extreme-market risk and manually reversed to flat when needed.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Increased trading activity on the exchange and completed the loop from requirements to parameter design, implementation, launch, and monitoring.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Honors &amp; Skills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Securities, fund, and banking qualification certificates; National Computer Rank Examination Level 2; CET-4 and CET-6 (CET-6 score 558). Master's thesis: “Valuation of Listed Companies in the Pharmaceutical Industry: A Case Study of Yunnan Baiyao” (Gordon dividend-discount model, with a quantitative strategy written in Python for validation).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I am proficient in Python, MATLAB, Wind, Stata, Excel, Access, and PowerPoint, and I can combine Wind and Excel for financial data analysis.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Daily work includes using Cursor and Claude to break down, implement, and review investment-research tasks; connecting tools into workflows through MCP; building research agents in Coze and connecting them to WeChat and Feishu; encoding multi-step tasks as runnable agent flows (LangGraph); and writing skills for the Coze store. I am familiar with the use cases of different AI tools and models, and I can write code independently or use AI to write code for lightweight checks.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Recent remote work includes the Xpert financial-expert AI annotation project and quantitative-studio collaboration delivered remotely.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Portfolio</w:t>
      </w:r>
    </w:p>
    <w:p>
      <w:pPr>
        <w:spacing w:before="2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Financial investment-research Skills: </w:t>
      </w:r>
      <w:hyperlink r:id="rId9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https://github.com/invy95/myCode/raw/cursor/skills-only-6afc/resume/skills/Finance_Research_Skills.docx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Breathing Bubble meditation desktop widget: </w:t>
      </w:r>
      <w:hyperlink r:id="rId10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https://github.com/invy95/minduful-breathing/releases/download/v1.0.1/BreathingBall-Open.zip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AI explainer video: </w:t>
      </w:r>
      <w:hyperlink r:id="rId11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https://m.bilibili.com/video/BV1E9Y46oEGX?share_source=weixin_web&amp;vd_source=9911c2ba7a4191da6df1074d816fc961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Douyin video: </w:t>
      </w:r>
      <w:hyperlink r:id="rId12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https://v.douyin.com/Hszw0uTsQuY/</w:t>
        </w:r>
      </w:hyperlink>
    </w:p>
    <w:sectPr w:rsidR="00FC693F" w:rsidRPr="0006063C" w:rsidSect="00034616">
      <w:pgSz w:w="11906" w:h="16838"/>
      <w:pgMar w:top="595" w:right="765" w:bottom="595" w:left="765" w:header="720" w:footer="720" w:gutter="0"/>
      <w:cols w:space="720"/>
      <w:docGrid w:linePitch="240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widowControl w:val="0"/>
      <w:autoSpaceDE w:val="0"/>
      <w:autoSpaceDN w:val="0"/>
    </w:pPr>
    <w:rPr>
      <w:rFonts w:ascii="Calibri" w:hAnsi="Calibri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nvy95/myCode/raw/cursor/skills-only-6afc/resume/skills/Finance_Research_Skills.docx" TargetMode="External"/><Relationship Id="rId10" Type="http://schemas.openxmlformats.org/officeDocument/2006/relationships/hyperlink" Target="https://github.com/invy95/minduful-breathing/releases/download/v1.0.1/BreathingBall-Open.zip" TargetMode="External"/><Relationship Id="rId11" Type="http://schemas.openxmlformats.org/officeDocument/2006/relationships/hyperlink" Target="https://m.bilibili.com/video/BV1E9Y46oEGX?share_source=weixin_web&amp;vd_source=9911c2ba7a4191da6df1074d816fc961" TargetMode="External"/><Relationship Id="rId12" Type="http://schemas.openxmlformats.org/officeDocument/2006/relationships/hyperlink" Target="https://v.douyin.com/Hszw0uTsQu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