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eastAsia="微软雅黑"/>
          <w:b/>
          <w:color w:val="1F3A5F"/>
          <w:sz w:val="36"/>
        </w:rPr>
        <w:t>Investment-Research Skills</w:t>
      </w:r>
    </w:p>
    <w:p>
      <w:pPr>
        <w:spacing w:before="0" w:after="160" w:line="259" w:lineRule="auto"/>
        <w:jc w:val="center"/>
      </w:pPr>
      <w:r>
        <w:rPr>
          <w:rFonts w:ascii="Calibri" w:hAnsi="Calibri" w:eastAsia="微软雅黑"/>
          <w:b w:val="0"/>
          <w:color w:val="555555"/>
          <w:sz w:val="20"/>
        </w:rPr>
        <w:t>Yin Wei  |  yw43@foxmail.com  |  15671678098</w:t>
      </w:r>
    </w:p>
    <w:p>
      <w:pPr>
        <w:spacing w:before="20" w:after="80" w:line="259" w:lineRule="auto"/>
      </w:pPr>
      <w:r>
        <w:rPr>
          <w:rFonts w:ascii="Calibri" w:hAnsi="Calibri" w:eastAsia="微软雅黑"/>
          <w:b w:val="0"/>
          <w:color w:val="222222"/>
          <w:sz w:val="22"/>
        </w:rPr>
        <w:t>These two documents are instructions for an agent. The goal, steps, and acceptance fields are fixed so the run can be repeated. This file keeps only the skills themselves, plus the decision rules and saved-output samples needed to run them.</w:t>
      </w:r>
    </w:p>
    <w:p>
      <w:pPr>
        <w:spacing w:before="240" w:after="120" w:line="259" w:lineRule="auto"/>
        <w:pBdr>
          <w:bottom w:val="single" w:sz="8" w:space="1" w:color="1F3A5F"/>
        </w:pBdr>
      </w:pPr>
      <w:r>
        <w:rPr>
          <w:rFonts w:ascii="Calibri" w:hAnsi="Calibri" w:eastAsia="微软雅黑"/>
          <w:b/>
          <w:color w:val="1F3A5F"/>
          <w:sz w:val="26"/>
        </w:rPr>
        <w:t>Skill 1  Intraday Hot-Theme Monitor</w:t>
      </w:r>
    </w:p>
    <w:p>
      <w:pPr>
        <w:spacing w:before="80" w:after="120" w:line="259" w:lineRule="auto"/>
        <w:ind w:left="142"/>
        <w:shd w:val="clear" w:color="auto" w:fill="F4F6F8"/>
      </w:pPr>
      <w:r>
        <w:rPr>
          <w:rFonts w:ascii="Consolas" w:hAnsi="Consolas" w:eastAsia="微软雅黑"/>
          <w:b w:val="0"/>
          <w:color w:val="222222"/>
          <w:sz w:val="18"/>
        </w:rPr>
        <w:t>name: Intraday Hot-Theme Monitor</w:t>
        <w:br/>
        <w:t>Also triggered by: 盘中热点板块监控; mentions of intraday themes, concept limit-ups, limit-up monitoring, or starting and stopping the minute heat table.</w:t>
        <w:br/>
        <w:br/>
        <w:t>Goal: During the trading session, detect limit-up stocks across the A-share market, score heat by concept theme, and append a minute-level CSV for later review.</w:t>
        <w:br/>
        <w:br/>
        <w:t>Behavior</w:t>
        <w:br/>
        <w:t>- Detect newly limit-up names about every 3 seconds; write theme statistics and append the daily heat table about every 1 minute.</w:t>
        <w:br/>
        <w:t>- Show the top 30 themes that have at least one limit-up on screen; persist every theme in the file, including those with zero limit-ups.</w:t>
        <w:br/>
        <w:t>- Session hours: 09:25–11:30 and 13:00–15:00; do not run on weekends.</w:t>
        <w:br/>
        <w:t>- Start before the open on trading days; stop after the close.</w:t>
        <w:br/>
        <w:t>- Limit-up thresholds differ for the Main Board, ChiNext / STAR Market, the Beijing Stock Exchange, and ST names.</w:t>
        <w:br/>
        <w:br/>
        <w:t>Acceptance</w:t>
        <w:br/>
        <w:t>- The process stays up during the session; the daily heat table keeps growing.</w:t>
        <w:br/>
        <w:t>- Header (fixed Chinese labels): 时间 (time), 概念板块 (theme), 涨停数 (limit-up count), 较上分钟 (change vs. last minute), 今日峰值 (session peak), 新增 (new limit-ups), 开板 (limit-up reversals).</w:t>
        <w:br/>
        <w:t>- When reviewing, slice by timestamp, rank themes by limit-up count, and also read the change, the peak, the new names, and the reversals.</w:t>
      </w:r>
    </w:p>
    <w:p>
      <w:pPr>
        <w:spacing w:before="160" w:after="60" w:line="259" w:lineRule="auto"/>
      </w:pPr>
      <w:r>
        <w:rPr>
          <w:rFonts w:ascii="Calibri" w:hAnsi="Calibri" w:eastAsia="微软雅黑"/>
          <w:b/>
          <w:color w:val="1F3A5F"/>
          <w:sz w:val="24"/>
        </w:rPr>
        <w:t>Limit-up rule (inside the skill)</w:t>
      </w:r>
    </w:p>
    <w:p>
      <w:pPr>
        <w:spacing w:before="20" w:after="80" w:line="259" w:lineRule="auto"/>
      </w:pPr>
      <w:r>
        <w:rPr>
          <w:rFonts w:ascii="Calibri" w:hAnsi="Calibri" w:eastAsia="微软雅黑"/>
          <w:b w:val="0"/>
          <w:color w:val="222222"/>
          <w:sz w:val="20"/>
        </w:rPr>
        <w:t>Assign the board from the stock-code prefix. Treat ST from the security short name, not from the code string.</w:t>
      </w:r>
    </w:p>
    <w:p>
      <w:pPr>
        <w:spacing w:before="80" w:after="120" w:line="259" w:lineRule="auto"/>
        <w:ind w:left="142"/>
        <w:shd w:val="clear" w:color="auto" w:fill="F4F6F8"/>
      </w:pPr>
      <w:r>
        <w:rPr>
          <w:rFonts w:ascii="Consolas" w:hAnsi="Consolas" w:eastAsia="微软雅黑"/>
          <w:b w:val="0"/>
          <w:color w:val="222222"/>
          <w:sz w:val="18"/>
        </w:rPr>
        <w:t>def get_limit_up_threshold(pre_close, stock_code, stock_name):</w:t>
        <w:br/>
        <w:t xml:space="preserve">    # STAR 688/689, ChiNext 300 → 20%</w:t>
        <w:br/>
        <w:t xml:space="preserve">    if stock_code.startswith(('688', '689', '300')):</w:t>
        <w:br/>
        <w:t xml:space="preserve">        return pre_close * 1.20</w:t>
        <w:br/>
        <w:t xml:space="preserve">    # Beijing Stock Exchange codes starting with 8 or 4 → 30%</w:t>
        <w:br/>
        <w:t xml:space="preserve">    if stock_code.startswith(('8', '4')):</w:t>
        <w:br/>
        <w:t xml:space="preserve">        return pre_close * 1.30</w:t>
        <w:br/>
        <w:t xml:space="preserve">    # ST / *ST → 5%</w:t>
        <w:br/>
        <w:t xml:space="preserve">    if 'ST' in (stock_name or '').upper():</w:t>
        <w:br/>
        <w:t xml:space="preserve">        return pre_close * 1.05</w:t>
        <w:br/>
        <w:t xml:space="preserve">    # Main Board → 10%</w:t>
        <w:br/>
        <w:t xml:space="preserve">    return pre_close * 1.10</w:t>
      </w:r>
    </w:p>
    <w:p>
      <w:pPr>
        <w:spacing w:before="20" w:after="80" w:line="259" w:lineRule="auto"/>
      </w:pPr>
      <w:r>
        <w:rPr>
          <w:rFonts w:ascii="Calibri" w:hAnsi="Calibri" w:eastAsia="微软雅黑"/>
          <w:b w:val="0"/>
          <w:color w:val="222222"/>
          <w:sz w:val="20"/>
        </w:rPr>
        <w:t>The live script may use 19.5% / 9.5% bands for an early intraday alert. Formal acceptance uses the full thresholds (10 / 20 / 30 / 5). A print that stops at 19.99% must be scored as not limit-up.</w:t>
      </w:r>
    </w:p>
    <w:p>
      <w:pPr>
        <w:spacing w:before="160" w:after="60" w:line="259" w:lineRule="auto"/>
      </w:pPr>
      <w:r>
        <w:rPr>
          <w:rFonts w:ascii="Calibri" w:hAnsi="Calibri" w:eastAsia="微软雅黑"/>
          <w:b/>
          <w:color w:val="1F3A5F"/>
          <w:sz w:val="24"/>
        </w:rPr>
        <w:t>Saved sample  |  2026-08-21 09:25, near the open</w:t>
      </w:r>
    </w:p>
    <w:tbl>
      <w:tblPr>
        <w:tblStyle w:val="TableGrid"/>
        <w:tblW w:type="auto" w:w="0"/>
        <w:jc w:val="center"/>
        <w:tblLook w:firstColumn="1" w:firstRow="1" w:lastColumn="0" w:lastRow="0" w:noHBand="0" w:noVBand="1" w:val="04A0"/>
      </w:tblPr>
      <w:tblGrid>
        <w:gridCol w:w="1442"/>
        <w:gridCol w:w="1442"/>
        <w:gridCol w:w="1442"/>
        <w:gridCol w:w="1442"/>
        <w:gridCol w:w="1442"/>
        <w:gridCol w:w="1442"/>
        <w:gridCol w:w="1442"/>
      </w:tblGrid>
      <w:tr>
        <w:tc>
          <w:tcPr>
            <w:tcW w:type="dxa" w:w="1442"/>
            <w:shd w:fill="1F3A5F" w:val="clear"/>
          </w:tcPr>
          <w:p>
            <w:pPr>
              <w:spacing w:before="20" w:after="20" w:line="259" w:lineRule="auto"/>
            </w:pPr>
            <w:r/>
            <w:r>
              <w:rPr>
                <w:rFonts w:ascii="Calibri" w:hAnsi="Calibri" w:eastAsia="微软雅黑"/>
                <w:b/>
                <w:color w:val="FFFFFF"/>
                <w:sz w:val="16"/>
              </w:rPr>
              <w:t>Time</w:t>
            </w:r>
          </w:p>
        </w:tc>
        <w:tc>
          <w:tcPr>
            <w:tcW w:type="dxa" w:w="1442"/>
            <w:shd w:fill="1F3A5F" w:val="clear"/>
          </w:tcPr>
          <w:p>
            <w:pPr>
              <w:spacing w:before="20" w:after="20" w:line="259" w:lineRule="auto"/>
            </w:pPr>
            <w:r/>
            <w:r>
              <w:rPr>
                <w:rFonts w:ascii="Calibri" w:hAnsi="Calibri" w:eastAsia="微软雅黑"/>
                <w:b/>
                <w:color w:val="FFFFFF"/>
                <w:sz w:val="16"/>
              </w:rPr>
              <w:t>Theme</w:t>
            </w:r>
          </w:p>
        </w:tc>
        <w:tc>
          <w:tcPr>
            <w:tcW w:type="dxa" w:w="1442"/>
            <w:shd w:fill="1F3A5F" w:val="clear"/>
          </w:tcPr>
          <w:p>
            <w:pPr>
              <w:spacing w:before="20" w:after="20" w:line="259" w:lineRule="auto"/>
            </w:pPr>
            <w:r/>
            <w:r>
              <w:rPr>
                <w:rFonts w:ascii="Calibri" w:hAnsi="Calibri" w:eastAsia="微软雅黑"/>
                <w:b/>
                <w:color w:val="FFFFFF"/>
                <w:sz w:val="16"/>
              </w:rPr>
              <w:t>Limit-ups</w:t>
            </w:r>
          </w:p>
        </w:tc>
        <w:tc>
          <w:tcPr>
            <w:tcW w:type="dxa" w:w="1442"/>
            <w:shd w:fill="1F3A5F" w:val="clear"/>
          </w:tcPr>
          <w:p>
            <w:pPr>
              <w:spacing w:before="20" w:after="20" w:line="259" w:lineRule="auto"/>
            </w:pPr>
            <w:r/>
            <w:r>
              <w:rPr>
                <w:rFonts w:ascii="Calibri" w:hAnsi="Calibri" w:eastAsia="微软雅黑"/>
                <w:b/>
                <w:color w:val="FFFFFF"/>
                <w:sz w:val="16"/>
              </w:rPr>
              <w:t>vs last min</w:t>
            </w:r>
          </w:p>
        </w:tc>
        <w:tc>
          <w:tcPr>
            <w:tcW w:type="dxa" w:w="1442"/>
            <w:shd w:fill="1F3A5F" w:val="clear"/>
          </w:tcPr>
          <w:p>
            <w:pPr>
              <w:spacing w:before="20" w:after="20" w:line="259" w:lineRule="auto"/>
            </w:pPr>
            <w:r/>
            <w:r>
              <w:rPr>
                <w:rFonts w:ascii="Calibri" w:hAnsi="Calibri" w:eastAsia="微软雅黑"/>
                <w:b/>
                <w:color w:val="FFFFFF"/>
                <w:sz w:val="16"/>
              </w:rPr>
              <w:t>Session peak</w:t>
            </w:r>
          </w:p>
        </w:tc>
        <w:tc>
          <w:tcPr>
            <w:tcW w:type="dxa" w:w="1442"/>
            <w:shd w:fill="1F3A5F" w:val="clear"/>
          </w:tcPr>
          <w:p>
            <w:pPr>
              <w:spacing w:before="20" w:after="20" w:line="259" w:lineRule="auto"/>
            </w:pPr>
            <w:r/>
            <w:r>
              <w:rPr>
                <w:rFonts w:ascii="Calibri" w:hAnsi="Calibri" w:eastAsia="微软雅黑"/>
                <w:b/>
                <w:color w:val="FFFFFF"/>
                <w:sz w:val="16"/>
              </w:rPr>
              <w:t>New names</w:t>
            </w:r>
          </w:p>
        </w:tc>
        <w:tc>
          <w:tcPr>
            <w:tcW w:type="dxa" w:w="1442"/>
            <w:shd w:fill="1F3A5F" w:val="clear"/>
          </w:tcPr>
          <w:p>
            <w:pPr>
              <w:spacing w:before="20" w:after="20" w:line="259" w:lineRule="auto"/>
            </w:pPr>
            <w:r/>
            <w:r>
              <w:rPr>
                <w:rFonts w:ascii="Calibri" w:hAnsi="Calibri" w:eastAsia="微软雅黑"/>
                <w:b/>
                <w:color w:val="FFFFFF"/>
                <w:sz w:val="16"/>
              </w:rPr>
              <w:t>Reversals</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*ST威领</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幽门螺杆菌</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双鹭药业, 汉森制药</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锂矿</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*ST威领</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减肥药</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双鹭药业</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智能医疗</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双鹭药业</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特斯拉概念</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虚拟电厂</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算力租赁</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bl>
    <w:p/>
    <w:p>
      <w:pPr>
        <w:spacing w:before="160" w:after="60" w:line="259" w:lineRule="auto"/>
      </w:pPr>
      <w:r>
        <w:rPr>
          <w:rFonts w:ascii="Calibri" w:hAnsi="Calibri" w:eastAsia="微软雅黑"/>
          <w:b/>
          <w:color w:val="1F3A5F"/>
          <w:sz w:val="24"/>
        </w:rPr>
        <w:t>Saved sample  |  same day, 储能 (energy storage), consecutive minutes</w:t>
      </w:r>
    </w:p>
    <w:tbl>
      <w:tblPr>
        <w:tblStyle w:val="TableGrid"/>
        <w:tblW w:type="auto" w:w="0"/>
        <w:jc w:val="center"/>
        <w:tblLook w:firstColumn="1" w:firstRow="1" w:lastColumn="0" w:lastRow="0" w:noHBand="0" w:noVBand="1" w:val="04A0"/>
      </w:tblPr>
      <w:tblGrid>
        <w:gridCol w:w="1442"/>
        <w:gridCol w:w="1442"/>
        <w:gridCol w:w="1442"/>
        <w:gridCol w:w="1442"/>
        <w:gridCol w:w="1442"/>
        <w:gridCol w:w="1442"/>
        <w:gridCol w:w="1442"/>
      </w:tblGrid>
      <w:tr>
        <w:tc>
          <w:tcPr>
            <w:tcW w:type="dxa" w:w="1442"/>
            <w:shd w:fill="1F3A5F" w:val="clear"/>
          </w:tcPr>
          <w:p>
            <w:pPr>
              <w:spacing w:before="20" w:after="20" w:line="259" w:lineRule="auto"/>
            </w:pPr>
            <w:r/>
            <w:r>
              <w:rPr>
                <w:rFonts w:ascii="Calibri" w:hAnsi="Calibri" w:eastAsia="微软雅黑"/>
                <w:b/>
                <w:color w:val="FFFFFF"/>
                <w:sz w:val="16"/>
              </w:rPr>
              <w:t>Time</w:t>
            </w:r>
          </w:p>
        </w:tc>
        <w:tc>
          <w:tcPr>
            <w:tcW w:type="dxa" w:w="1442"/>
            <w:shd w:fill="1F3A5F" w:val="clear"/>
          </w:tcPr>
          <w:p>
            <w:pPr>
              <w:spacing w:before="20" w:after="20" w:line="259" w:lineRule="auto"/>
            </w:pPr>
            <w:r/>
            <w:r>
              <w:rPr>
                <w:rFonts w:ascii="Calibri" w:hAnsi="Calibri" w:eastAsia="微软雅黑"/>
                <w:b/>
                <w:color w:val="FFFFFF"/>
                <w:sz w:val="16"/>
              </w:rPr>
              <w:t>Theme</w:t>
            </w:r>
          </w:p>
        </w:tc>
        <w:tc>
          <w:tcPr>
            <w:tcW w:type="dxa" w:w="1442"/>
            <w:shd w:fill="1F3A5F" w:val="clear"/>
          </w:tcPr>
          <w:p>
            <w:pPr>
              <w:spacing w:before="20" w:after="20" w:line="259" w:lineRule="auto"/>
            </w:pPr>
            <w:r/>
            <w:r>
              <w:rPr>
                <w:rFonts w:ascii="Calibri" w:hAnsi="Calibri" w:eastAsia="微软雅黑"/>
                <w:b/>
                <w:color w:val="FFFFFF"/>
                <w:sz w:val="16"/>
              </w:rPr>
              <w:t>Limit-ups</w:t>
            </w:r>
          </w:p>
        </w:tc>
        <w:tc>
          <w:tcPr>
            <w:tcW w:type="dxa" w:w="1442"/>
            <w:shd w:fill="1F3A5F" w:val="clear"/>
          </w:tcPr>
          <w:p>
            <w:pPr>
              <w:spacing w:before="20" w:after="20" w:line="259" w:lineRule="auto"/>
            </w:pPr>
            <w:r/>
            <w:r>
              <w:rPr>
                <w:rFonts w:ascii="Calibri" w:hAnsi="Calibri" w:eastAsia="微软雅黑"/>
                <w:b/>
                <w:color w:val="FFFFFF"/>
                <w:sz w:val="16"/>
              </w:rPr>
              <w:t>vs last min</w:t>
            </w:r>
          </w:p>
        </w:tc>
        <w:tc>
          <w:tcPr>
            <w:tcW w:type="dxa" w:w="1442"/>
            <w:shd w:fill="1F3A5F" w:val="clear"/>
          </w:tcPr>
          <w:p>
            <w:pPr>
              <w:spacing w:before="20" w:after="20" w:line="259" w:lineRule="auto"/>
            </w:pPr>
            <w:r/>
            <w:r>
              <w:rPr>
                <w:rFonts w:ascii="Calibri" w:hAnsi="Calibri" w:eastAsia="微软雅黑"/>
                <w:b/>
                <w:color w:val="FFFFFF"/>
                <w:sz w:val="16"/>
              </w:rPr>
              <w:t>Session peak</w:t>
            </w:r>
          </w:p>
        </w:tc>
        <w:tc>
          <w:tcPr>
            <w:tcW w:type="dxa" w:w="1442"/>
            <w:shd w:fill="1F3A5F" w:val="clear"/>
          </w:tcPr>
          <w:p>
            <w:pPr>
              <w:spacing w:before="20" w:after="20" w:line="259" w:lineRule="auto"/>
            </w:pPr>
            <w:r/>
            <w:r>
              <w:rPr>
                <w:rFonts w:ascii="Calibri" w:hAnsi="Calibri" w:eastAsia="微软雅黑"/>
                <w:b/>
                <w:color w:val="FFFFFF"/>
                <w:sz w:val="16"/>
              </w:rPr>
              <w:t>New names</w:t>
            </w:r>
          </w:p>
        </w:tc>
        <w:tc>
          <w:tcPr>
            <w:tcW w:type="dxa" w:w="1442"/>
            <w:shd w:fill="1F3A5F" w:val="clear"/>
          </w:tcPr>
          <w:p>
            <w:pPr>
              <w:spacing w:before="20" w:after="20" w:line="259" w:lineRule="auto"/>
            </w:pPr>
            <w:r/>
            <w:r>
              <w:rPr>
                <w:rFonts w:ascii="Calibri" w:hAnsi="Calibri" w:eastAsia="微软雅黑"/>
                <w:b/>
                <w:color w:val="FFFFFF"/>
                <w:sz w:val="16"/>
              </w:rPr>
              <w:t>Reversals</w:t>
            </w:r>
          </w:p>
        </w:tc>
      </w:tr>
      <w:tr>
        <w:tc>
          <w:tcPr>
            <w:tcW w:type="dxa" w:w="1442"/>
          </w:tcPr>
          <w:p>
            <w:pPr>
              <w:spacing w:before="20" w:after="20" w:line="259" w:lineRule="auto"/>
            </w:pPr>
            <w:r/>
            <w:r>
              <w:rPr>
                <w:rFonts w:ascii="Calibri" w:hAnsi="Calibri" w:eastAsia="微软雅黑"/>
                <w:b w:val="0"/>
                <w:color w:val="222222"/>
                <w:sz w:val="16"/>
              </w:rPr>
              <w:t>2026-08-21 09:25:08</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*ST威领</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09:26:02</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09:27:02</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09:28:00</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09:29:00</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09:30:03</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09:31:02</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1</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福华尚纬</w:t>
            </w:r>
          </w:p>
        </w:tc>
        <w:tc>
          <w:tcPr>
            <w:tcW w:type="dxa" w:w="1442"/>
          </w:tcPr>
          <w:p>
            <w:pPr>
              <w:spacing w:before="20" w:after="20" w:line="259" w:lineRule="auto"/>
            </w:pPr>
            <w:r/>
            <w:r>
              <w:rPr>
                <w:rFonts w:ascii="Calibri" w:hAnsi="Calibri" w:eastAsia="微软雅黑"/>
                <w:b w:val="0"/>
                <w:color w:val="222222"/>
                <w:sz w:val="16"/>
              </w:rPr>
              <w:t>-</w:t>
            </w:r>
          </w:p>
        </w:tc>
      </w:tr>
      <w:tr>
        <w:tc>
          <w:tcPr>
            <w:tcW w:type="dxa" w:w="1442"/>
          </w:tcPr>
          <w:p>
            <w:pPr>
              <w:spacing w:before="20" w:after="20" w:line="259" w:lineRule="auto"/>
            </w:pPr>
            <w:r/>
            <w:r>
              <w:rPr>
                <w:rFonts w:ascii="Calibri" w:hAnsi="Calibri" w:eastAsia="微软雅黑"/>
                <w:b w:val="0"/>
                <w:color w:val="222222"/>
                <w:sz w:val="16"/>
              </w:rPr>
              <w:t>2026-08-21 09:32:01</w:t>
            </w:r>
          </w:p>
        </w:tc>
        <w:tc>
          <w:tcPr>
            <w:tcW w:type="dxa" w:w="1442"/>
          </w:tcPr>
          <w:p>
            <w:pPr>
              <w:spacing w:before="20" w:after="20" w:line="259" w:lineRule="auto"/>
            </w:pPr>
            <w:r/>
            <w:r>
              <w:rPr>
                <w:rFonts w:ascii="Calibri" w:hAnsi="Calibri" w:eastAsia="微软雅黑"/>
                <w:b w:val="0"/>
                <w:color w:val="222222"/>
                <w:sz w:val="16"/>
              </w:rPr>
              <w:t>储能</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0</w:t>
            </w:r>
          </w:p>
        </w:tc>
        <w:tc>
          <w:tcPr>
            <w:tcW w:type="dxa" w:w="1442"/>
          </w:tcPr>
          <w:p>
            <w:pPr>
              <w:spacing w:before="20" w:after="20" w:line="259" w:lineRule="auto"/>
            </w:pPr>
            <w:r/>
            <w:r>
              <w:rPr>
                <w:rFonts w:ascii="Calibri" w:hAnsi="Calibri" w:eastAsia="微软雅黑"/>
                <w:b w:val="0"/>
                <w:color w:val="222222"/>
                <w:sz w:val="16"/>
              </w:rPr>
              <w:t>2</w:t>
            </w:r>
          </w:p>
        </w:tc>
        <w:tc>
          <w:tcPr>
            <w:tcW w:type="dxa" w:w="1442"/>
          </w:tcPr>
          <w:p>
            <w:pPr>
              <w:spacing w:before="20" w:after="20" w:line="259" w:lineRule="auto"/>
            </w:pPr>
            <w:r/>
            <w:r>
              <w:rPr>
                <w:rFonts w:ascii="Calibri" w:hAnsi="Calibri" w:eastAsia="微软雅黑"/>
                <w:b w:val="0"/>
                <w:color w:val="222222"/>
                <w:sz w:val="16"/>
              </w:rPr>
              <w:t>-</w:t>
            </w:r>
          </w:p>
        </w:tc>
        <w:tc>
          <w:tcPr>
            <w:tcW w:type="dxa" w:w="1442"/>
          </w:tcPr>
          <w:p>
            <w:pPr>
              <w:spacing w:before="20" w:after="20" w:line="259" w:lineRule="auto"/>
            </w:pPr>
            <w:r/>
            <w:r>
              <w:rPr>
                <w:rFonts w:ascii="Calibri" w:hAnsi="Calibri" w:eastAsia="微软雅黑"/>
                <w:b w:val="0"/>
                <w:color w:val="222222"/>
                <w:sz w:val="16"/>
              </w:rPr>
              <w:t>-</w:t>
            </w:r>
          </w:p>
        </w:tc>
      </w:tr>
    </w:tbl>
    <w:p/>
    <w:p>
      <w:pPr>
        <w:spacing w:before="240" w:after="120" w:line="259" w:lineRule="auto"/>
        <w:pBdr>
          <w:bottom w:val="single" w:sz="8" w:space="1" w:color="1F3A5F"/>
        </w:pBdr>
      </w:pPr>
      <w:r>
        <w:rPr>
          <w:rFonts w:ascii="Calibri" w:hAnsi="Calibri" w:eastAsia="微软雅黑"/>
          <w:b/>
          <w:color w:val="1F3A5F"/>
          <w:sz w:val="26"/>
        </w:rPr>
        <w:t>Skill 2  CNINFO Net-Profit Collector</w:t>
      </w:r>
    </w:p>
    <w:p>
      <w:pPr>
        <w:spacing w:before="80" w:after="120" w:line="259" w:lineRule="auto"/>
        <w:ind w:left="142"/>
        <w:shd w:val="clear" w:color="auto" w:fill="F4F6F8"/>
      </w:pPr>
      <w:r>
        <w:rPr>
          <w:rFonts w:ascii="Consolas" w:hAnsi="Consolas" w:eastAsia="微软雅黑"/>
          <w:b w:val="0"/>
          <w:color w:val="222222"/>
          <w:sz w:val="18"/>
        </w:rPr>
        <w:t>name: CNINFO Net-Profit Collector</w:t>
        <w:br/>
        <w:t>Also triggered by: 巨潮净利润采集; mentions of CNINFO (巨潮), earnings pre-announcements, net profit attributable to the parent, the percentage change, or earnings flashes.</w:t>
        <w:br/>
        <w:br/>
        <w:t>Goal: For each requested date, pull earnings pre-announcements, extract net profit attributable to the parent (RMB 10,000) and the percentage change, export a table, then run a financial quality screen.</w:t>
        <w:br/>
        <w:br/>
        <w:t>Steps</w:t>
        <w:br/>
        <w:t>1. Dependencies: requests and pandas; the East Money fallback is optional.</w:t>
        <w:br/>
        <w:t>2. Write the list of dates to run, then execute the collector.</w:t>
        <w:br/>
        <w:t>3. Confirm that the date folder contains both the earnings-forecast table and the value-screen table.</w:t>
        <w:br/>
        <w:br/>
        <w:t>Parse order (do not reorder): PDF → East Money API → title inference.</w:t>
        <w:br/>
        <w:br/>
        <w:t>Forecast-table fields: announcement ID, stock code, short name, announcement type, title, announcement time, PDF link, net profit attributable to the parent (RMB 10,000), percentage change, display string for the change, forecast type, reason for the change, and data source.</w:t>
        <w:br/>
        <w:br/>
        <w:t>Value screen: leverage stays in range, cash is positive, ROE is not negative, and either ROE &gt; 8% or ROE improved versus the prior year.</w:t>
      </w:r>
    </w:p>
    <w:p>
      <w:pPr>
        <w:spacing w:before="160" w:after="60" w:line="259" w:lineRule="auto"/>
      </w:pPr>
      <w:r>
        <w:rPr>
          <w:rFonts w:ascii="Calibri" w:hAnsi="Calibri" w:eastAsia="微软雅黑"/>
          <w:b/>
          <w:color w:val="1F3A5F"/>
          <w:sz w:val="24"/>
        </w:rPr>
        <w:t>Parse order (inside the skill; the wrong order is an error)</w:t>
      </w:r>
    </w:p>
    <w:p>
      <w:pPr>
        <w:spacing w:before="0" w:after="40" w:line="259" w:lineRule="auto"/>
        <w:ind w:left="227"/>
      </w:pPr>
      <w:r>
        <w:rPr>
          <w:rFonts w:ascii="Calibri" w:hAnsi="Calibri" w:eastAsia="微软雅黑"/>
          <w:b w:val="0"/>
          <w:color w:val="222222"/>
          <w:sz w:val="22"/>
        </w:rPr>
        <w:t>• 1. Extract net profit attributable to the parent and the percentage change from the PDF tables.</w:t>
      </w:r>
    </w:p>
    <w:p>
      <w:pPr>
        <w:spacing w:before="0" w:after="40" w:line="259" w:lineRule="auto"/>
        <w:ind w:left="227"/>
      </w:pPr>
      <w:r>
        <w:rPr>
          <w:rFonts w:ascii="Calibri" w:hAnsi="Calibri" w:eastAsia="微软雅黑"/>
          <w:b w:val="0"/>
          <w:color w:val="222222"/>
          <w:sz w:val="22"/>
        </w:rPr>
        <w:t>• 2. If the PDF fails, fill the numbers from the East Money earnings-forecast API and mark the source as eastmoney.</w:t>
      </w:r>
    </w:p>
    <w:p>
      <w:pPr>
        <w:spacing w:before="0" w:after="40" w:line="259" w:lineRule="auto"/>
        <w:ind w:left="227"/>
      </w:pPr>
      <w:r>
        <w:rPr>
          <w:rFonts w:ascii="Calibri" w:hAnsi="Calibri" w:eastAsia="微软雅黑"/>
          <w:b w:val="0"/>
          <w:color w:val="222222"/>
          <w:sz w:val="22"/>
        </w:rPr>
        <w:t>• 3. If the growth rate is still missing, infer it from the title or tag the forecast type. Do not fill missing values with 0.</w:t>
      </w:r>
    </w:p>
    <w:p>
      <w:pPr>
        <w:spacing w:before="0" w:after="40" w:line="259" w:lineRule="auto"/>
        <w:ind w:left="227"/>
      </w:pPr>
      <w:r>
        <w:rPr>
          <w:rFonts w:ascii="Calibri" w:hAnsi="Calibri" w:eastAsia="微软雅黑"/>
          <w:b w:val="0"/>
          <w:color w:val="222222"/>
          <w:sz w:val="22"/>
        </w:rPr>
        <w:t>• If a pre-announcement and a flash report both exist, keep two rows and distinguish them with the type field. Do not merge them into one row. Use the disclosure date, not the reporting period.</w:t>
      </w:r>
    </w:p>
    <w:p>
      <w:pPr>
        <w:spacing w:before="20" w:after="80" w:line="259" w:lineRule="auto"/>
      </w:pPr>
      <w:r>
        <w:rPr>
          <w:rFonts w:ascii="Calibri" w:hAnsi="Calibri" w:eastAsia="微软雅黑"/>
          <w:b w:val="0"/>
          <w:color w:val="222222"/>
          <w:sz w:val="20"/>
        </w:rPr>
        <w:t>The list API has no abstract, and titles often omit the growth rate, so the PDF must be downloaded first. Do not scan titles only.</w:t>
      </w:r>
    </w:p>
    <w:p>
      <w:pPr>
        <w:spacing w:before="160" w:after="60" w:line="259" w:lineRule="auto"/>
      </w:pPr>
      <w:r>
        <w:rPr>
          <w:rFonts w:ascii="Calibri" w:hAnsi="Calibri" w:eastAsia="微软雅黑"/>
          <w:b/>
          <w:color w:val="1F3A5F"/>
          <w:sz w:val="24"/>
        </w:rPr>
        <w:t>Saved sample  |  2026-07-14 earnings pre-announcements</w:t>
      </w:r>
    </w:p>
    <w:tbl>
      <w:tblPr>
        <w:tblStyle w:val="TableGrid"/>
        <w:tblW w:type="auto" w:w="0"/>
        <w:jc w:val="center"/>
        <w:tblLook w:firstColumn="1" w:firstRow="1" w:lastColumn="0" w:lastRow="0" w:noHBand="0" w:noVBand="1" w:val="04A0"/>
      </w:tblPr>
      <w:tblGrid>
        <w:gridCol w:w="1442"/>
        <w:gridCol w:w="1442"/>
        <w:gridCol w:w="1442"/>
        <w:gridCol w:w="1442"/>
        <w:gridCol w:w="1442"/>
        <w:gridCol w:w="1442"/>
        <w:gridCol w:w="1442"/>
      </w:tblGrid>
      <w:tr>
        <w:tc>
          <w:tcPr>
            <w:tcW w:type="dxa" w:w="1442"/>
            <w:shd w:fill="1F3A5F" w:val="clear"/>
          </w:tcPr>
          <w:p>
            <w:pPr>
              <w:spacing w:before="20" w:after="20" w:line="259" w:lineRule="auto"/>
            </w:pPr>
            <w:r/>
            <w:r>
              <w:rPr>
                <w:rFonts w:ascii="Calibri" w:hAnsi="Calibri" w:eastAsia="微软雅黑"/>
                <w:b/>
                <w:color w:val="FFFFFF"/>
                <w:sz w:val="16"/>
              </w:rPr>
              <w:t>Code</w:t>
            </w:r>
          </w:p>
        </w:tc>
        <w:tc>
          <w:tcPr>
            <w:tcW w:type="dxa" w:w="1442"/>
            <w:shd w:fill="1F3A5F" w:val="clear"/>
          </w:tcPr>
          <w:p>
            <w:pPr>
              <w:spacing w:before="20" w:after="20" w:line="259" w:lineRule="auto"/>
            </w:pPr>
            <w:r/>
            <w:r>
              <w:rPr>
                <w:rFonts w:ascii="Calibri" w:hAnsi="Calibri" w:eastAsia="微软雅黑"/>
                <w:b/>
                <w:color w:val="FFFFFF"/>
                <w:sz w:val="16"/>
              </w:rPr>
              <w:t>Name</w:t>
            </w:r>
          </w:p>
        </w:tc>
        <w:tc>
          <w:tcPr>
            <w:tcW w:type="dxa" w:w="1442"/>
            <w:shd w:fill="1F3A5F" w:val="clear"/>
          </w:tcPr>
          <w:p>
            <w:pPr>
              <w:spacing w:before="20" w:after="20" w:line="259" w:lineRule="auto"/>
            </w:pPr>
            <w:r/>
            <w:r>
              <w:rPr>
                <w:rFonts w:ascii="Calibri" w:hAnsi="Calibri" w:eastAsia="微软雅黑"/>
                <w:b/>
                <w:color w:val="FFFFFF"/>
                <w:sz w:val="16"/>
              </w:rPr>
              <w:t>Parent NP (RMB 10k)</w:t>
            </w:r>
          </w:p>
        </w:tc>
        <w:tc>
          <w:tcPr>
            <w:tcW w:type="dxa" w:w="1442"/>
            <w:shd w:fill="1F3A5F" w:val="clear"/>
          </w:tcPr>
          <w:p>
            <w:pPr>
              <w:spacing w:before="20" w:after="20" w:line="259" w:lineRule="auto"/>
            </w:pPr>
            <w:r/>
            <w:r>
              <w:rPr>
                <w:rFonts w:ascii="Calibri" w:hAnsi="Calibri" w:eastAsia="微软雅黑"/>
                <w:b/>
                <w:color w:val="FFFFFF"/>
                <w:sz w:val="16"/>
              </w:rPr>
              <w:t>Change %</w:t>
            </w:r>
          </w:p>
        </w:tc>
        <w:tc>
          <w:tcPr>
            <w:tcW w:type="dxa" w:w="1442"/>
            <w:shd w:fill="1F3A5F" w:val="clear"/>
          </w:tcPr>
          <w:p>
            <w:pPr>
              <w:spacing w:before="20" w:after="20" w:line="259" w:lineRule="auto"/>
            </w:pPr>
            <w:r/>
            <w:r>
              <w:rPr>
                <w:rFonts w:ascii="Calibri" w:hAnsi="Calibri" w:eastAsia="微软雅黑"/>
                <w:b/>
                <w:color w:val="FFFFFF"/>
                <w:sz w:val="16"/>
              </w:rPr>
              <w:t>Display</w:t>
            </w:r>
          </w:p>
        </w:tc>
        <w:tc>
          <w:tcPr>
            <w:tcW w:type="dxa" w:w="1442"/>
            <w:shd w:fill="1F3A5F" w:val="clear"/>
          </w:tcPr>
          <w:p>
            <w:pPr>
              <w:spacing w:before="20" w:after="20" w:line="259" w:lineRule="auto"/>
            </w:pPr>
            <w:r/>
            <w:r>
              <w:rPr>
                <w:rFonts w:ascii="Calibri" w:hAnsi="Calibri" w:eastAsia="微软雅黑"/>
                <w:b/>
                <w:color w:val="FFFFFF"/>
                <w:sz w:val="16"/>
              </w:rPr>
              <w:t>Source</w:t>
            </w:r>
          </w:p>
        </w:tc>
        <w:tc>
          <w:tcPr>
            <w:tcW w:type="dxa" w:w="1442"/>
            <w:shd w:fill="1F3A5F" w:val="clear"/>
          </w:tcPr>
          <w:p>
            <w:pPr>
              <w:spacing w:before="20" w:after="20" w:line="259" w:lineRule="auto"/>
            </w:pPr>
            <w:r/>
            <w:r>
              <w:rPr>
                <w:rFonts w:ascii="Calibri" w:hAnsi="Calibri" w:eastAsia="微软雅黑"/>
                <w:b/>
                <w:color w:val="FFFFFF"/>
                <w:sz w:val="16"/>
              </w:rPr>
              <w:t>Title</w:t>
            </w:r>
          </w:p>
        </w:tc>
      </w:tr>
      <w:tr>
        <w:tc>
          <w:tcPr>
            <w:tcW w:type="dxa" w:w="1442"/>
          </w:tcPr>
          <w:p>
            <w:pPr>
              <w:spacing w:before="20" w:after="20" w:line="259" w:lineRule="auto"/>
            </w:pPr>
            <w:r/>
            <w:r>
              <w:rPr>
                <w:rFonts w:ascii="Calibri" w:hAnsi="Calibri" w:eastAsia="微软雅黑"/>
                <w:b w:val="0"/>
                <w:color w:val="222222"/>
                <w:sz w:val="16"/>
              </w:rPr>
              <w:t>300118</w:t>
            </w:r>
          </w:p>
        </w:tc>
        <w:tc>
          <w:tcPr>
            <w:tcW w:type="dxa" w:w="1442"/>
          </w:tcPr>
          <w:p>
            <w:pPr>
              <w:spacing w:before="20" w:after="20" w:line="259" w:lineRule="auto"/>
            </w:pPr>
            <w:r/>
            <w:r>
              <w:rPr>
                <w:rFonts w:ascii="Calibri" w:hAnsi="Calibri" w:eastAsia="微软雅黑"/>
                <w:b w:val="0"/>
                <w:color w:val="222222"/>
                <w:sz w:val="16"/>
              </w:rPr>
              <w:t>东方日升</w:t>
            </w:r>
          </w:p>
        </w:tc>
        <w:tc>
          <w:tcPr>
            <w:tcW w:type="dxa" w:w="1442"/>
          </w:tcPr>
          <w:p>
            <w:pPr>
              <w:spacing w:before="20" w:after="20" w:line="259" w:lineRule="auto"/>
            </w:pPr>
            <w:r/>
            <w:r>
              <w:rPr>
                <w:rFonts w:ascii="Calibri" w:hAnsi="Calibri" w:eastAsia="微软雅黑"/>
                <w:b w:val="0"/>
                <w:color w:val="222222"/>
                <w:sz w:val="16"/>
              </w:rPr>
              <w:t>230000</w:t>
            </w:r>
          </w:p>
        </w:tc>
        <w:tc>
          <w:tcPr>
            <w:tcW w:type="dxa" w:w="1442"/>
          </w:tcPr>
          <w:p>
            <w:pPr>
              <w:spacing w:before="20" w:after="20" w:line="259" w:lineRule="auto"/>
            </w:pPr>
            <w:r/>
            <w:r>
              <w:rPr>
                <w:rFonts w:ascii="Calibri" w:hAnsi="Calibri" w:eastAsia="微软雅黑"/>
                <w:b w:val="0"/>
                <w:color w:val="222222"/>
                <w:sz w:val="16"/>
              </w:rPr>
              <w:t>24.33</w:t>
            </w:r>
          </w:p>
        </w:tc>
        <w:tc>
          <w:tcPr>
            <w:tcW w:type="dxa" w:w="1442"/>
          </w:tcPr>
          <w:p>
            <w:pPr>
              <w:spacing w:before="20" w:after="20" w:line="259" w:lineRule="auto"/>
            </w:pPr>
            <w:r/>
            <w:r>
              <w:rPr>
                <w:rFonts w:ascii="Calibri" w:hAnsi="Calibri" w:eastAsia="微软雅黑"/>
                <w:b w:val="0"/>
                <w:color w:val="222222"/>
                <w:sz w:val="16"/>
              </w:rPr>
              <w:t>+24.33%</w:t>
            </w:r>
          </w:p>
        </w:tc>
        <w:tc>
          <w:tcPr>
            <w:tcW w:type="dxa" w:w="1442"/>
          </w:tcPr>
          <w:p>
            <w:pPr>
              <w:spacing w:before="20" w:after="20" w:line="259" w:lineRule="auto"/>
            </w:pPr>
            <w:r/>
            <w:r>
              <w:rPr>
                <w:rFonts w:ascii="Calibri" w:hAnsi="Calibri" w:eastAsia="微软雅黑"/>
                <w:b w:val="0"/>
                <w:color w:val="222222"/>
                <w:sz w:val="16"/>
              </w:rPr>
              <w:t>pdf+em</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302132</w:t>
            </w:r>
          </w:p>
        </w:tc>
        <w:tc>
          <w:tcPr>
            <w:tcW w:type="dxa" w:w="1442"/>
          </w:tcPr>
          <w:p>
            <w:pPr>
              <w:spacing w:before="20" w:after="20" w:line="259" w:lineRule="auto"/>
            </w:pPr>
            <w:r/>
            <w:r>
              <w:rPr>
                <w:rFonts w:ascii="Calibri" w:hAnsi="Calibri" w:eastAsia="微软雅黑"/>
                <w:b w:val="0"/>
                <w:color w:val="222222"/>
                <w:sz w:val="16"/>
              </w:rPr>
              <w:t>中航成飞</w:t>
            </w:r>
          </w:p>
        </w:tc>
        <w:tc>
          <w:tcPr>
            <w:tcW w:type="dxa" w:w="1442"/>
          </w:tcPr>
          <w:p>
            <w:pPr>
              <w:spacing w:before="20" w:after="20" w:line="259" w:lineRule="auto"/>
            </w:pPr>
            <w:r/>
            <w:r>
              <w:rPr>
                <w:rFonts w:ascii="Calibri" w:hAnsi="Calibri" w:eastAsia="微软雅黑"/>
                <w:b w:val="0"/>
                <w:color w:val="222222"/>
                <w:sz w:val="16"/>
              </w:rPr>
              <w:t>340000</w:t>
            </w:r>
          </w:p>
        </w:tc>
        <w:tc>
          <w:tcPr>
            <w:tcW w:type="dxa" w:w="1442"/>
          </w:tcPr>
          <w:p>
            <w:pPr>
              <w:spacing w:before="20" w:after="20" w:line="259" w:lineRule="auto"/>
            </w:pPr>
            <w:r/>
            <w:r>
              <w:rPr>
                <w:rFonts w:ascii="Calibri" w:hAnsi="Calibri" w:eastAsia="微软雅黑"/>
                <w:b w:val="0"/>
                <w:color w:val="222222"/>
                <w:sz w:val="16"/>
              </w:rPr>
              <w:t>2927.37</w:t>
            </w:r>
          </w:p>
        </w:tc>
        <w:tc>
          <w:tcPr>
            <w:tcW w:type="dxa" w:w="1442"/>
          </w:tcPr>
          <w:p>
            <w:pPr>
              <w:spacing w:before="20" w:after="20" w:line="259" w:lineRule="auto"/>
            </w:pPr>
            <w:r/>
            <w:r>
              <w:rPr>
                <w:rFonts w:ascii="Calibri" w:hAnsi="Calibri" w:eastAsia="微软雅黑"/>
                <w:b w:val="0"/>
                <w:color w:val="222222"/>
                <w:sz w:val="16"/>
              </w:rPr>
              <w:t>+2927.37%</w:t>
            </w:r>
          </w:p>
        </w:tc>
        <w:tc>
          <w:tcPr>
            <w:tcW w:type="dxa" w:w="1442"/>
          </w:tcPr>
          <w:p>
            <w:pPr>
              <w:spacing w:before="20" w:after="20" w:line="259" w:lineRule="auto"/>
            </w:pPr>
            <w:r/>
            <w:r>
              <w:rPr>
                <w:rFonts w:ascii="Calibri" w:hAnsi="Calibri" w:eastAsia="微软雅黑"/>
                <w:b w:val="0"/>
                <w:color w:val="222222"/>
                <w:sz w:val="16"/>
              </w:rPr>
              <w:t>pdf</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300862</w:t>
            </w:r>
          </w:p>
        </w:tc>
        <w:tc>
          <w:tcPr>
            <w:tcW w:type="dxa" w:w="1442"/>
          </w:tcPr>
          <w:p>
            <w:pPr>
              <w:spacing w:before="20" w:after="20" w:line="259" w:lineRule="auto"/>
            </w:pPr>
            <w:r/>
            <w:r>
              <w:rPr>
                <w:rFonts w:ascii="Calibri" w:hAnsi="Calibri" w:eastAsia="微软雅黑"/>
                <w:b w:val="0"/>
                <w:color w:val="222222"/>
                <w:sz w:val="16"/>
              </w:rPr>
              <w:t>蓝盾光电</w:t>
            </w:r>
          </w:p>
        </w:tc>
        <w:tc>
          <w:tcPr>
            <w:tcW w:type="dxa" w:w="1442"/>
          </w:tcPr>
          <w:p>
            <w:pPr>
              <w:spacing w:before="20" w:after="20" w:line="259" w:lineRule="auto"/>
            </w:pPr>
            <w:r/>
            <w:r>
              <w:rPr>
                <w:rFonts w:ascii="Calibri" w:hAnsi="Calibri" w:eastAsia="微软雅黑"/>
                <w:b w:val="0"/>
                <w:color w:val="222222"/>
                <w:sz w:val="16"/>
              </w:rPr>
              <w:t>7000</w:t>
            </w:r>
          </w:p>
        </w:tc>
        <w:tc>
          <w:tcPr>
            <w:tcW w:type="dxa" w:w="1442"/>
          </w:tcPr>
          <w:p>
            <w:pPr>
              <w:spacing w:before="20" w:after="20" w:line="259" w:lineRule="auto"/>
            </w:pPr>
            <w:r/>
            <w:r>
              <w:rPr>
                <w:rFonts w:ascii="Calibri" w:hAnsi="Calibri" w:eastAsia="微软雅黑"/>
                <w:b w:val="0"/>
                <w:color w:val="222222"/>
                <w:sz w:val="16"/>
              </w:rPr>
              <w:t>1179.36</w:t>
            </w:r>
          </w:p>
        </w:tc>
        <w:tc>
          <w:tcPr>
            <w:tcW w:type="dxa" w:w="1442"/>
          </w:tcPr>
          <w:p>
            <w:pPr>
              <w:spacing w:before="20" w:after="20" w:line="259" w:lineRule="auto"/>
            </w:pPr>
            <w:r/>
            <w:r>
              <w:rPr>
                <w:rFonts w:ascii="Calibri" w:hAnsi="Calibri" w:eastAsia="微软雅黑"/>
                <w:b w:val="0"/>
                <w:color w:val="222222"/>
                <w:sz w:val="16"/>
              </w:rPr>
              <w:t>+1179.36%</w:t>
            </w:r>
          </w:p>
        </w:tc>
        <w:tc>
          <w:tcPr>
            <w:tcW w:type="dxa" w:w="1442"/>
          </w:tcPr>
          <w:p>
            <w:pPr>
              <w:spacing w:before="20" w:after="20" w:line="259" w:lineRule="auto"/>
            </w:pPr>
            <w:r/>
            <w:r>
              <w:rPr>
                <w:rFonts w:ascii="Calibri" w:hAnsi="Calibri" w:eastAsia="微软雅黑"/>
                <w:b w:val="0"/>
                <w:color w:val="222222"/>
                <w:sz w:val="16"/>
              </w:rPr>
              <w:t>pdf</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300971</w:t>
            </w:r>
          </w:p>
        </w:tc>
        <w:tc>
          <w:tcPr>
            <w:tcW w:type="dxa" w:w="1442"/>
          </w:tcPr>
          <w:p>
            <w:pPr>
              <w:spacing w:before="20" w:after="20" w:line="259" w:lineRule="auto"/>
            </w:pPr>
            <w:r/>
            <w:r>
              <w:rPr>
                <w:rFonts w:ascii="Calibri" w:hAnsi="Calibri" w:eastAsia="微软雅黑"/>
                <w:b w:val="0"/>
                <w:color w:val="222222"/>
                <w:sz w:val="16"/>
              </w:rPr>
              <w:t>博亚精工</w:t>
            </w:r>
          </w:p>
        </w:tc>
        <w:tc>
          <w:tcPr>
            <w:tcW w:type="dxa" w:w="1442"/>
          </w:tcPr>
          <w:p>
            <w:pPr>
              <w:spacing w:before="20" w:after="20" w:line="259" w:lineRule="auto"/>
            </w:pPr>
            <w:r/>
            <w:r>
              <w:rPr>
                <w:rFonts w:ascii="Calibri" w:hAnsi="Calibri" w:eastAsia="微软雅黑"/>
                <w:b w:val="0"/>
                <w:color w:val="222222"/>
                <w:sz w:val="16"/>
              </w:rPr>
              <w:t>8000</w:t>
            </w:r>
          </w:p>
        </w:tc>
        <w:tc>
          <w:tcPr>
            <w:tcW w:type="dxa" w:w="1442"/>
          </w:tcPr>
          <w:p>
            <w:pPr>
              <w:spacing w:before="20" w:after="20" w:line="259" w:lineRule="auto"/>
            </w:pPr>
            <w:r/>
            <w:r>
              <w:rPr>
                <w:rFonts w:ascii="Calibri" w:hAnsi="Calibri" w:eastAsia="微软雅黑"/>
                <w:b w:val="0"/>
                <w:color w:val="222222"/>
                <w:sz w:val="16"/>
              </w:rPr>
              <w:t>82.68</w:t>
            </w:r>
          </w:p>
        </w:tc>
        <w:tc>
          <w:tcPr>
            <w:tcW w:type="dxa" w:w="1442"/>
          </w:tcPr>
          <w:p>
            <w:pPr>
              <w:spacing w:before="20" w:after="20" w:line="259" w:lineRule="auto"/>
            </w:pPr>
            <w:r/>
            <w:r>
              <w:rPr>
                <w:rFonts w:ascii="Calibri" w:hAnsi="Calibri" w:eastAsia="微软雅黑"/>
                <w:b w:val="0"/>
                <w:color w:val="222222"/>
                <w:sz w:val="16"/>
              </w:rPr>
              <w:t>+82.68%</w:t>
            </w:r>
          </w:p>
        </w:tc>
        <w:tc>
          <w:tcPr>
            <w:tcW w:type="dxa" w:w="1442"/>
          </w:tcPr>
          <w:p>
            <w:pPr>
              <w:spacing w:before="20" w:after="20" w:line="259" w:lineRule="auto"/>
            </w:pPr>
            <w:r/>
            <w:r>
              <w:rPr>
                <w:rFonts w:ascii="Calibri" w:hAnsi="Calibri" w:eastAsia="微软雅黑"/>
                <w:b w:val="0"/>
                <w:color w:val="222222"/>
                <w:sz w:val="16"/>
              </w:rPr>
              <w:t>pdf</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300323</w:t>
            </w:r>
          </w:p>
        </w:tc>
        <w:tc>
          <w:tcPr>
            <w:tcW w:type="dxa" w:w="1442"/>
          </w:tcPr>
          <w:p>
            <w:pPr>
              <w:spacing w:before="20" w:after="20" w:line="259" w:lineRule="auto"/>
            </w:pPr>
            <w:r/>
            <w:r>
              <w:rPr>
                <w:rFonts w:ascii="Calibri" w:hAnsi="Calibri" w:eastAsia="微软雅黑"/>
                <w:b w:val="0"/>
                <w:color w:val="222222"/>
                <w:sz w:val="16"/>
              </w:rPr>
              <w:t>华灿光电</w:t>
            </w:r>
          </w:p>
        </w:tc>
        <w:tc>
          <w:tcPr>
            <w:tcW w:type="dxa" w:w="1442"/>
          </w:tcPr>
          <w:p>
            <w:pPr>
              <w:spacing w:before="20" w:after="20" w:line="259" w:lineRule="auto"/>
            </w:pPr>
            <w:r/>
            <w:r>
              <w:rPr>
                <w:rFonts w:ascii="Calibri" w:hAnsi="Calibri" w:eastAsia="微软雅黑"/>
                <w:b w:val="0"/>
                <w:color w:val="222222"/>
                <w:sz w:val="16"/>
              </w:rPr>
              <w:t>-45000</w:t>
            </w:r>
          </w:p>
        </w:tc>
        <w:tc>
          <w:tcPr>
            <w:tcW w:type="dxa" w:w="1442"/>
          </w:tcPr>
          <w:p>
            <w:pPr>
              <w:spacing w:before="20" w:after="20" w:line="259" w:lineRule="auto"/>
            </w:pPr>
            <w:r/>
            <w:r>
              <w:rPr>
                <w:rFonts w:ascii="Calibri" w:hAnsi="Calibri" w:eastAsia="微软雅黑"/>
                <w:b w:val="0"/>
                <w:color w:val="222222"/>
                <w:sz w:val="16"/>
              </w:rPr>
              <w:t>26.37</w:t>
            </w:r>
          </w:p>
        </w:tc>
        <w:tc>
          <w:tcPr>
            <w:tcW w:type="dxa" w:w="1442"/>
          </w:tcPr>
          <w:p>
            <w:pPr>
              <w:spacing w:before="20" w:after="20" w:line="259" w:lineRule="auto"/>
            </w:pPr>
            <w:r/>
            <w:r>
              <w:rPr>
                <w:rFonts w:ascii="Calibri" w:hAnsi="Calibri" w:eastAsia="微软雅黑"/>
                <w:b w:val="0"/>
                <w:color w:val="222222"/>
                <w:sz w:val="16"/>
              </w:rPr>
              <w:t>+26.37%</w:t>
            </w:r>
          </w:p>
        </w:tc>
        <w:tc>
          <w:tcPr>
            <w:tcW w:type="dxa" w:w="1442"/>
          </w:tcPr>
          <w:p>
            <w:pPr>
              <w:spacing w:before="20" w:after="20" w:line="259" w:lineRule="auto"/>
            </w:pPr>
            <w:r/>
            <w:r>
              <w:rPr>
                <w:rFonts w:ascii="Calibri" w:hAnsi="Calibri" w:eastAsia="微软雅黑"/>
                <w:b w:val="0"/>
                <w:color w:val="222222"/>
                <w:sz w:val="16"/>
              </w:rPr>
              <w:t>eastmoney</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300107</w:t>
            </w:r>
          </w:p>
        </w:tc>
        <w:tc>
          <w:tcPr>
            <w:tcW w:type="dxa" w:w="1442"/>
          </w:tcPr>
          <w:p>
            <w:pPr>
              <w:spacing w:before="20" w:after="20" w:line="259" w:lineRule="auto"/>
            </w:pPr>
            <w:r/>
            <w:r>
              <w:rPr>
                <w:rFonts w:ascii="Calibri" w:hAnsi="Calibri" w:eastAsia="微软雅黑"/>
                <w:b w:val="0"/>
                <w:color w:val="222222"/>
                <w:sz w:val="16"/>
              </w:rPr>
              <w:t>建新股份</w:t>
            </w:r>
          </w:p>
        </w:tc>
        <w:tc>
          <w:tcPr>
            <w:tcW w:type="dxa" w:w="1442"/>
          </w:tcPr>
          <w:p>
            <w:pPr>
              <w:spacing w:before="20" w:after="20" w:line="259" w:lineRule="auto"/>
            </w:pPr>
            <w:r/>
            <w:r>
              <w:rPr>
                <w:rFonts w:ascii="Calibri" w:hAnsi="Calibri" w:eastAsia="微软雅黑"/>
                <w:b w:val="0"/>
                <w:color w:val="222222"/>
                <w:sz w:val="16"/>
              </w:rPr>
              <w:t>-2450</w:t>
            </w:r>
          </w:p>
        </w:tc>
        <w:tc>
          <w:tcPr>
            <w:tcW w:type="dxa" w:w="1442"/>
          </w:tcPr>
          <w:p>
            <w:pPr>
              <w:spacing w:before="20" w:after="20" w:line="259" w:lineRule="auto"/>
            </w:pPr>
            <w:r/>
            <w:r>
              <w:rPr>
                <w:rFonts w:ascii="Calibri" w:hAnsi="Calibri" w:eastAsia="微软雅黑"/>
                <w:b w:val="0"/>
                <w:color w:val="222222"/>
                <w:sz w:val="16"/>
              </w:rPr>
              <w:t>-226.52</w:t>
            </w:r>
          </w:p>
        </w:tc>
        <w:tc>
          <w:tcPr>
            <w:tcW w:type="dxa" w:w="1442"/>
          </w:tcPr>
          <w:p>
            <w:pPr>
              <w:spacing w:before="20" w:after="20" w:line="259" w:lineRule="auto"/>
            </w:pPr>
            <w:r/>
            <w:r>
              <w:rPr>
                <w:rFonts w:ascii="Calibri" w:hAnsi="Calibri" w:eastAsia="微软雅黑"/>
                <w:b w:val="0"/>
                <w:color w:val="222222"/>
                <w:sz w:val="16"/>
              </w:rPr>
              <w:t>-226.51%</w:t>
            </w:r>
          </w:p>
        </w:tc>
        <w:tc>
          <w:tcPr>
            <w:tcW w:type="dxa" w:w="1442"/>
          </w:tcPr>
          <w:p>
            <w:pPr>
              <w:spacing w:before="20" w:after="20" w:line="259" w:lineRule="auto"/>
            </w:pPr>
            <w:r/>
            <w:r>
              <w:rPr>
                <w:rFonts w:ascii="Calibri" w:hAnsi="Calibri" w:eastAsia="微软雅黑"/>
                <w:b w:val="0"/>
                <w:color w:val="222222"/>
                <w:sz w:val="16"/>
              </w:rPr>
              <w:t>eastmoney</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301110</w:t>
            </w:r>
          </w:p>
        </w:tc>
        <w:tc>
          <w:tcPr>
            <w:tcW w:type="dxa" w:w="1442"/>
          </w:tcPr>
          <w:p>
            <w:pPr>
              <w:spacing w:before="20" w:after="20" w:line="259" w:lineRule="auto"/>
            </w:pPr>
            <w:r/>
            <w:r>
              <w:rPr>
                <w:rFonts w:ascii="Calibri" w:hAnsi="Calibri" w:eastAsia="微软雅黑"/>
                <w:b w:val="0"/>
                <w:color w:val="222222"/>
                <w:sz w:val="16"/>
              </w:rPr>
              <w:t>青木科技</w:t>
            </w:r>
          </w:p>
        </w:tc>
        <w:tc>
          <w:tcPr>
            <w:tcW w:type="dxa" w:w="1442"/>
          </w:tcPr>
          <w:p>
            <w:pPr>
              <w:spacing w:before="20" w:after="20" w:line="259" w:lineRule="auto"/>
            </w:pPr>
            <w:r/>
            <w:r>
              <w:rPr>
                <w:rFonts w:ascii="Calibri" w:hAnsi="Calibri" w:eastAsia="微软雅黑"/>
                <w:b w:val="0"/>
                <w:color w:val="222222"/>
                <w:sz w:val="16"/>
              </w:rPr>
              <w:t>11770.18</w:t>
            </w:r>
          </w:p>
        </w:tc>
        <w:tc>
          <w:tcPr>
            <w:tcW w:type="dxa" w:w="1442"/>
          </w:tcPr>
          <w:p>
            <w:pPr>
              <w:spacing w:before="20" w:after="20" w:line="259" w:lineRule="auto"/>
            </w:pPr>
            <w:r/>
            <w:r>
              <w:rPr>
                <w:rFonts w:ascii="Calibri" w:hAnsi="Calibri" w:eastAsia="微软雅黑"/>
                <w:b w:val="0"/>
                <w:color w:val="222222"/>
                <w:sz w:val="16"/>
              </w:rPr>
              <w:t>30.00</w:t>
            </w:r>
          </w:p>
        </w:tc>
        <w:tc>
          <w:tcPr>
            <w:tcW w:type="dxa" w:w="1442"/>
          </w:tcPr>
          <w:p>
            <w:pPr>
              <w:spacing w:before="20" w:after="20" w:line="259" w:lineRule="auto"/>
            </w:pPr>
            <w:r/>
            <w:r>
              <w:rPr>
                <w:rFonts w:ascii="Calibri" w:hAnsi="Calibri" w:eastAsia="微软雅黑"/>
                <w:b w:val="0"/>
                <w:color w:val="222222"/>
                <w:sz w:val="16"/>
              </w:rPr>
              <w:t>+30.00%</w:t>
            </w:r>
          </w:p>
        </w:tc>
        <w:tc>
          <w:tcPr>
            <w:tcW w:type="dxa" w:w="1442"/>
          </w:tcPr>
          <w:p>
            <w:pPr>
              <w:spacing w:before="20" w:after="20" w:line="259" w:lineRule="auto"/>
            </w:pPr>
            <w:r/>
            <w:r>
              <w:rPr>
                <w:rFonts w:ascii="Calibri" w:hAnsi="Calibri" w:eastAsia="微软雅黑"/>
                <w:b w:val="0"/>
                <w:color w:val="222222"/>
                <w:sz w:val="16"/>
              </w:rPr>
              <w:t>pdf</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300672</w:t>
            </w:r>
          </w:p>
        </w:tc>
        <w:tc>
          <w:tcPr>
            <w:tcW w:type="dxa" w:w="1442"/>
          </w:tcPr>
          <w:p>
            <w:pPr>
              <w:spacing w:before="20" w:after="20" w:line="259" w:lineRule="auto"/>
            </w:pPr>
            <w:r/>
            <w:r>
              <w:rPr>
                <w:rFonts w:ascii="Calibri" w:hAnsi="Calibri" w:eastAsia="微软雅黑"/>
                <w:b w:val="0"/>
                <w:color w:val="222222"/>
                <w:sz w:val="16"/>
              </w:rPr>
              <w:t>国科微</w:t>
            </w:r>
          </w:p>
        </w:tc>
        <w:tc>
          <w:tcPr>
            <w:tcW w:type="dxa" w:w="1442"/>
          </w:tcPr>
          <w:p>
            <w:pPr>
              <w:spacing w:before="20" w:after="20" w:line="259" w:lineRule="auto"/>
            </w:pPr>
            <w:r/>
            <w:r>
              <w:rPr>
                <w:rFonts w:ascii="Calibri" w:hAnsi="Calibri" w:eastAsia="微软雅黑"/>
                <w:b w:val="0"/>
                <w:color w:val="222222"/>
                <w:sz w:val="16"/>
              </w:rPr>
              <w:t>-21500</w:t>
            </w:r>
          </w:p>
        </w:tc>
        <w:tc>
          <w:tcPr>
            <w:tcW w:type="dxa" w:w="1442"/>
          </w:tcPr>
          <w:p>
            <w:pPr>
              <w:spacing w:before="20" w:after="20" w:line="259" w:lineRule="auto"/>
            </w:pPr>
            <w:r/>
            <w:r>
              <w:rPr>
                <w:rFonts w:ascii="Calibri" w:hAnsi="Calibri" w:eastAsia="微软雅黑"/>
                <w:b w:val="0"/>
                <w:color w:val="222222"/>
                <w:sz w:val="16"/>
              </w:rPr>
              <w:t>-321.30</w:t>
            </w:r>
          </w:p>
        </w:tc>
        <w:tc>
          <w:tcPr>
            <w:tcW w:type="dxa" w:w="1442"/>
          </w:tcPr>
          <w:p>
            <w:pPr>
              <w:spacing w:before="20" w:after="20" w:line="259" w:lineRule="auto"/>
            </w:pPr>
            <w:r/>
            <w:r>
              <w:rPr>
                <w:rFonts w:ascii="Calibri" w:hAnsi="Calibri" w:eastAsia="微软雅黑"/>
                <w:b w:val="0"/>
                <w:color w:val="222222"/>
                <w:sz w:val="16"/>
              </w:rPr>
              <w:t>-321.30%</w:t>
            </w:r>
          </w:p>
        </w:tc>
        <w:tc>
          <w:tcPr>
            <w:tcW w:type="dxa" w:w="1442"/>
          </w:tcPr>
          <w:p>
            <w:pPr>
              <w:spacing w:before="20" w:after="20" w:line="259" w:lineRule="auto"/>
            </w:pPr>
            <w:r/>
            <w:r>
              <w:rPr>
                <w:rFonts w:ascii="Calibri" w:hAnsi="Calibri" w:eastAsia="微软雅黑"/>
                <w:b w:val="0"/>
                <w:color w:val="222222"/>
                <w:sz w:val="16"/>
              </w:rPr>
              <w:t>eastmoney</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300061</w:t>
            </w:r>
          </w:p>
        </w:tc>
        <w:tc>
          <w:tcPr>
            <w:tcW w:type="dxa" w:w="1442"/>
          </w:tcPr>
          <w:p>
            <w:pPr>
              <w:spacing w:before="20" w:after="20" w:line="259" w:lineRule="auto"/>
            </w:pPr>
            <w:r/>
            <w:r>
              <w:rPr>
                <w:rFonts w:ascii="Calibri" w:hAnsi="Calibri" w:eastAsia="微软雅黑"/>
                <w:b w:val="0"/>
                <w:color w:val="222222"/>
                <w:sz w:val="16"/>
              </w:rPr>
              <w:t>旗天科技</w:t>
            </w:r>
          </w:p>
        </w:tc>
        <w:tc>
          <w:tcPr>
            <w:tcW w:type="dxa" w:w="1442"/>
          </w:tcPr>
          <w:p>
            <w:pPr>
              <w:spacing w:before="20" w:after="20" w:line="259" w:lineRule="auto"/>
            </w:pPr>
            <w:r/>
            <w:r>
              <w:rPr>
                <w:rFonts w:ascii="Calibri" w:hAnsi="Calibri" w:eastAsia="微软雅黑"/>
                <w:b w:val="0"/>
                <w:color w:val="222222"/>
                <w:sz w:val="16"/>
              </w:rPr>
              <w:t>9500</w:t>
            </w:r>
          </w:p>
        </w:tc>
        <w:tc>
          <w:tcPr>
            <w:tcW w:type="dxa" w:w="1442"/>
          </w:tcPr>
          <w:p>
            <w:pPr>
              <w:spacing w:before="20" w:after="20" w:line="259" w:lineRule="auto"/>
            </w:pPr>
            <w:r/>
            <w:r>
              <w:rPr>
                <w:rFonts w:ascii="Calibri" w:hAnsi="Calibri" w:eastAsia="微软雅黑"/>
                <w:b w:val="0"/>
                <w:color w:val="222222"/>
                <w:sz w:val="16"/>
              </w:rPr>
              <w:t>55.65</w:t>
            </w:r>
          </w:p>
        </w:tc>
        <w:tc>
          <w:tcPr>
            <w:tcW w:type="dxa" w:w="1442"/>
          </w:tcPr>
          <w:p>
            <w:pPr>
              <w:spacing w:before="20" w:after="20" w:line="259" w:lineRule="auto"/>
            </w:pPr>
            <w:r/>
            <w:r>
              <w:rPr>
                <w:rFonts w:ascii="Calibri" w:hAnsi="Calibri" w:eastAsia="微软雅黑"/>
                <w:b w:val="0"/>
                <w:color w:val="222222"/>
                <w:sz w:val="16"/>
              </w:rPr>
              <w:t>+55.65%</w:t>
            </w:r>
          </w:p>
        </w:tc>
        <w:tc>
          <w:tcPr>
            <w:tcW w:type="dxa" w:w="1442"/>
          </w:tcPr>
          <w:p>
            <w:pPr>
              <w:spacing w:before="20" w:after="20" w:line="259" w:lineRule="auto"/>
            </w:pPr>
            <w:r/>
            <w:r>
              <w:rPr>
                <w:rFonts w:ascii="Calibri" w:hAnsi="Calibri" w:eastAsia="微软雅黑"/>
                <w:b w:val="0"/>
                <w:color w:val="222222"/>
                <w:sz w:val="16"/>
              </w:rPr>
              <w:t>pdf</w:t>
            </w:r>
          </w:p>
        </w:tc>
        <w:tc>
          <w:tcPr>
            <w:tcW w:type="dxa" w:w="1442"/>
          </w:tcPr>
          <w:p>
            <w:pPr>
              <w:spacing w:before="20" w:after="20" w:line="259" w:lineRule="auto"/>
            </w:pPr>
            <w:r/>
            <w:r>
              <w:rPr>
                <w:rFonts w:ascii="Calibri" w:hAnsi="Calibri" w:eastAsia="微软雅黑"/>
                <w:b w:val="0"/>
                <w:color w:val="222222"/>
                <w:sz w:val="16"/>
              </w:rPr>
              <w:t>2025年度业绩预告</w:t>
            </w:r>
          </w:p>
        </w:tc>
      </w:tr>
      <w:tr>
        <w:tc>
          <w:tcPr>
            <w:tcW w:type="dxa" w:w="1442"/>
          </w:tcPr>
          <w:p>
            <w:pPr>
              <w:spacing w:before="20" w:after="20" w:line="259" w:lineRule="auto"/>
            </w:pPr>
            <w:r/>
            <w:r>
              <w:rPr>
                <w:rFonts w:ascii="Calibri" w:hAnsi="Calibri" w:eastAsia="微软雅黑"/>
                <w:b w:val="0"/>
                <w:color w:val="222222"/>
                <w:sz w:val="16"/>
              </w:rPr>
              <w:t>300497</w:t>
            </w:r>
          </w:p>
        </w:tc>
        <w:tc>
          <w:tcPr>
            <w:tcW w:type="dxa" w:w="1442"/>
          </w:tcPr>
          <w:p>
            <w:pPr>
              <w:spacing w:before="20" w:after="20" w:line="259" w:lineRule="auto"/>
            </w:pPr>
            <w:r/>
            <w:r>
              <w:rPr>
                <w:rFonts w:ascii="Calibri" w:hAnsi="Calibri" w:eastAsia="微软雅黑"/>
                <w:b w:val="0"/>
                <w:color w:val="222222"/>
                <w:sz w:val="16"/>
              </w:rPr>
              <w:t>富祥药业</w:t>
            </w:r>
          </w:p>
        </w:tc>
        <w:tc>
          <w:tcPr>
            <w:tcW w:type="dxa" w:w="1442"/>
          </w:tcPr>
          <w:p>
            <w:pPr>
              <w:spacing w:before="20" w:after="20" w:line="259" w:lineRule="auto"/>
            </w:pPr>
            <w:r/>
            <w:r>
              <w:rPr>
                <w:rFonts w:ascii="Calibri" w:hAnsi="Calibri" w:eastAsia="微软雅黑"/>
                <w:b w:val="0"/>
                <w:color w:val="222222"/>
                <w:sz w:val="16"/>
              </w:rPr>
              <w:t>-4800</w:t>
            </w:r>
          </w:p>
        </w:tc>
        <w:tc>
          <w:tcPr>
            <w:tcW w:type="dxa" w:w="1442"/>
          </w:tcPr>
          <w:p>
            <w:pPr>
              <w:spacing w:before="20" w:after="20" w:line="259" w:lineRule="auto"/>
            </w:pPr>
            <w:r/>
            <w:r>
              <w:rPr>
                <w:rFonts w:ascii="Calibri" w:hAnsi="Calibri" w:eastAsia="微软雅黑"/>
                <w:b w:val="0"/>
                <w:color w:val="222222"/>
                <w:sz w:val="16"/>
              </w:rPr>
              <w:t>82.36</w:t>
            </w:r>
          </w:p>
        </w:tc>
        <w:tc>
          <w:tcPr>
            <w:tcW w:type="dxa" w:w="1442"/>
          </w:tcPr>
          <w:p>
            <w:pPr>
              <w:spacing w:before="20" w:after="20" w:line="259" w:lineRule="auto"/>
            </w:pPr>
            <w:r/>
            <w:r>
              <w:rPr>
                <w:rFonts w:ascii="Calibri" w:hAnsi="Calibri" w:eastAsia="微软雅黑"/>
                <w:b w:val="0"/>
                <w:color w:val="222222"/>
                <w:sz w:val="16"/>
              </w:rPr>
              <w:t>+82.36%</w:t>
            </w:r>
          </w:p>
        </w:tc>
        <w:tc>
          <w:tcPr>
            <w:tcW w:type="dxa" w:w="1442"/>
          </w:tcPr>
          <w:p>
            <w:pPr>
              <w:spacing w:before="20" w:after="20" w:line="259" w:lineRule="auto"/>
            </w:pPr>
            <w:r/>
            <w:r>
              <w:rPr>
                <w:rFonts w:ascii="Calibri" w:hAnsi="Calibri" w:eastAsia="微软雅黑"/>
                <w:b w:val="0"/>
                <w:color w:val="222222"/>
                <w:sz w:val="16"/>
              </w:rPr>
              <w:t>eastmoney</w:t>
            </w:r>
          </w:p>
        </w:tc>
        <w:tc>
          <w:tcPr>
            <w:tcW w:type="dxa" w:w="1442"/>
          </w:tcPr>
          <w:p>
            <w:pPr>
              <w:spacing w:before="20" w:after="20" w:line="259" w:lineRule="auto"/>
            </w:pPr>
            <w:r/>
            <w:r>
              <w:rPr>
                <w:rFonts w:ascii="Calibri" w:hAnsi="Calibri" w:eastAsia="微软雅黑"/>
                <w:b w:val="0"/>
                <w:color w:val="222222"/>
                <w:sz w:val="16"/>
              </w:rPr>
              <w:t>2025年度业绩预告</w:t>
            </w:r>
          </w:p>
        </w:tc>
      </w:tr>
    </w:tbl>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