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44"/>
        </w:rPr>
        <w:t>殷  维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444444"/>
          <w:sz w:val="22"/>
        </w:rPr>
        <w:t>量化研究 / AI投研  |  金融硕士  |  华中科技大学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55555"/>
          <w:sz w:val="20"/>
        </w:rPr>
        <w:t>女  |  31岁  |  中共党员  |  武汉  |  15671678098  |  yw43@foxmail.com</w:t>
      </w:r>
    </w:p>
    <w:p>
      <w:pPr>
        <w:spacing w:before="200" w:after="80" w:line="252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6"/>
        </w:rPr>
        <w:t>职业方向</w:t>
      </w:r>
    </w:p>
    <w:p>
      <w:pPr>
        <w:spacing w:after="40" w:before="0" w:line="269" w:lineRule="auto"/>
      </w:pPr>
      <w:r>
        <w:rPr>
          <w:rFonts w:ascii="宋体" w:hAnsi="宋体" w:eastAsia="宋体"/>
          <w:b w:val="0"/>
          <w:sz w:val="21"/>
        </w:rPr>
        <w:t>AI投研体系建设、量化策略研究与回测、投研工作流自动化（适合大模型金融方向专家数据 / Agentic Coding 任务设计）。</w:t>
      </w:r>
    </w:p>
    <w:p>
      <w:pPr>
        <w:spacing w:before="200" w:after="80" w:line="252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6"/>
        </w:rPr>
        <w:t>工作经历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投资业务部  |  AI投研 / 量化研究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2026.06 – 至今</w:t>
            </w:r>
          </w:p>
        </w:tc>
      </w:tr>
    </w:tbl>
    <w:p>
      <w:pPr>
        <w:spacing w:after="60" w:before="0" w:line="269" w:lineRule="auto"/>
      </w:pPr>
      <w:r>
        <w:rPr>
          <w:rFonts w:ascii="宋体" w:hAnsi="宋体" w:eastAsia="宋体"/>
          <w:b w:val="0"/>
          <w:sz w:val="18"/>
        </w:rPr>
        <w:t>（请补全公司全称。6月入职，负责部门AI投研体系从0到1搭建，并推进策略研究与投研智能体落地。）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负责部门AI投研基础设施选型与落地：完成WorkBuddy企业版与Coze团队版对比实测、采购认证与全员工作空间配置；部署GLM5.1投研智能体并接通微信、飞书；协助法律部完成跨部门账号与工作空间开通，输出新手入群指南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在Linux服务器上完成投研相关脚本、工作流与智能体的部署、配置和日常运维（环境安装、进程/日志排查、定时任务等）。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搭建投资业务部日报工作流并完成多轮升级，v5.3多人共用版定稿并技能化部署；打通乐享自动归档与企业微信智能机器人群推送，支持config.json团队分发及工作日定时提醒。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建设乐享知识库并完成与Coze对接（输出OpenAPI配置与对接指南），打通AI知识问答、原文读取、日报/底稿/聊天记录归档；将AI撤退报告工作流本地化，实现零积分消耗发送，待Wind API开通后接入盘前每日更新。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完成强势股放量策略改版回测：增加「收盘价/前20日最低价&lt;130%」过滤，完善收益率测算与4组14项指标对照方案（控制变量法+回测Prompt模板+Excel输出规范），最大亏损由-27%降至-17%。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上线盘中放量信号扫描与重点股票池实时推送（上午动态、午盘汇总、下午速递、全日收盘），飞书渠道验证通过；同步完成会议待办Skill、文件自动归类归档及多项交办材料（董事长金融转型学习PPT、AI周期与互联网周期映射报告等）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量化研究工作室  |  独立研究员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2024.03 – 2026.05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结合宏观与行业研究框架跟踪热点赛道轮动，为策略定调提供研究输入；搭建标准化财务选股模型，按季度更新核心股票池。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结合短线指标完善个股买卖点逻辑；搭建全市场财报数据采集与业绩预告/快报爬虫，支撑投研及时性。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实盘方面：2025年资金加权收益率年化约60%，2026年约40%；日常使用Claude、Cursor、MCP搭建AI agent协同提效。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深圳引力波量化科技有限公司  |  量化研究员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2023.10 – 2024.02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负责交易数据获取，使用Pandas、Numpy、Talib进行清洗与分析。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参与套利、做市等方向的量化策略开发，日常优化与维护交易策略。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江铜产融控股有限公司  |  量化研究员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2022.01 – 2023.09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对北上深量化私募开展调研前问卷设计、实地尽调，并撰写尽调报告。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搭建二级市场研究框架，监控流动性等关键指标。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量盈私募基金管理有限公司  |  量化研究员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2020.08 – 2021.12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使用聚宽、掘金等平台进行期货、股票因子挖掘、策略开发及回测优化。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按基金经理要求，使用Python复现券商金工等策略研报。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中国平安财产保险股份有限公司  |  再保险业务管理岗（管培生）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2019.07 – 2020.07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使用Excel按月更新再保人资信、按季计提坏账并监控风险指标；按制度审核交易对手资信。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统计汇总不同业务场景下关联交易、非关联交易数据。</w:t>
      </w:r>
    </w:p>
    <w:p>
      <w:pPr>
        <w:spacing w:before="200" w:after="80" w:line="252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6"/>
        </w:rPr>
        <w:t>项目经历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AI投研工作流与投研智能体建设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2026.06 – 至今</w:t>
            </w:r>
          </w:p>
        </w:tc>
      </w:tr>
    </w:tbl>
    <w:p>
      <w:pPr>
        <w:spacing w:after="40" w:before="0" w:line="269" w:lineRule="auto"/>
      </w:pPr>
      <w:r>
        <w:rPr>
          <w:rFonts w:ascii="宋体" w:hAnsi="宋体" w:eastAsia="宋体"/>
          <w:b w:val="0"/>
          <w:sz w:val="21"/>
        </w:rPr>
        <w:t>项目描述：部门AI投研体系从0到1建设，覆盖工具选型、工作流、知识库、盘中推送与策略回测。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日报工作流从自动抓取上线迭代至v5.3技能化多人共用，并完成乐享+企微分发。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在Linux服务器完成相关脚本与服务部署运维；AI撤退报告本地化运行、零积分消耗；盘中放量扫描与多时段市场速递上线。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强势股策略回测优化后最大亏损-27%→-17%；形成可复用的回测对照表与Prompt规范。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股票短线多头策略（二级市场研究）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2024.03 – 2026.05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宏观赛道行业研究并出具报告；搭建财报收集系统与业绩预告/快报爬虫。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2025年资金加权年化约60%，2026年约40%；积累盘感及AI工具重度使用经验。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股票短线多头策略（掘金平台）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2022.07 – 至今</w:t>
            </w:r>
          </w:p>
        </w:tc>
      </w:tr>
    </w:tbl>
    <w:p>
      <w:pPr>
        <w:spacing w:after="40" w:before="0" w:line="269" w:lineRule="auto"/>
      </w:pPr>
      <w:r>
        <w:rPr>
          <w:rFonts w:ascii="宋体" w:hAnsi="宋体" w:eastAsia="宋体"/>
          <w:b w:val="0"/>
          <w:sz w:val="21"/>
        </w:rPr>
        <w:t>项目描述：分钟级板块因子组合日线量价因子，进行择时选股获取超额收益。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组合择时/选股因子并设计入场出场；回测优化参数与因子；编写实盘版本接入掘金日更数据。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回测样本内：最大回撤2%，年化收益17.14%，夏普比率3.4。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期货CTA策略研究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2022.01 – 2022.03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使用Python结合tbquant开展基于期货的模式识别策略开发与优化。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基于拓扑空间结构距离开发模式识别算法，并在股指期货上进行回测优化。</w:t>
      </w:r>
    </w:p>
    <w:p>
      <w:pPr>
        <w:spacing w:before="200" w:after="80" w:line="252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6"/>
        </w:rPr>
        <w:t>教育背景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华中科技大学  |  金融学  |  硕士（全日制）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2017.09 – 2019.06</w:t>
            </w:r>
          </w:p>
        </w:tc>
      </w:tr>
    </w:tbl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主修：量化投资、财务报表分析、金融建模与计算、数理统计。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考研成绩：总分405/500，数学130/150，英语79/100，专业课134/150。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毕业论文：《医药行业上市公司价值评估研究——以云南白药为例》（股利贴现模型+量化分析）。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color w:val="2D2D2D"/>
                <w:sz w:val="22"/>
              </w:rPr>
              <w:t>武汉科技大学  |  机械工程  |  本科（全日制）</w:t>
            </w:r>
          </w:p>
        </w:tc>
        <w:tc>
          <w:tcPr>
            <w:tcW w:type="dxa" w:w="5100"/>
          </w:tcPr>
          <w:p>
            <w:pPr>
              <w:spacing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1"/>
              </w:rPr>
              <w:t>2013.09 – 2017.06</w:t>
            </w:r>
          </w:p>
        </w:tc>
      </w:tr>
    </w:tbl>
    <w:p>
      <w:pPr>
        <w:spacing w:before="200" w:after="80" w:line="252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6"/>
        </w:rPr>
        <w:t>技能证书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量化与数据：Python（Pandas / Numpy / Talib）、Stata、MATLAB、Wind、Excel（高阶：多表匹配、风控计提、滚动预警）。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服务器与工程：熟悉Linux服务器使用，能完成环境配置、脚本部署、日志排查与定时任务；可配合Bash完成投研工作流上线。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AI工具：Claude、Cursor、MCP、Coze、WorkBuddy；能搭建AI Agent Team，设计投研工作流与自动化测试验证思路。</w:t>
      </w:r>
    </w:p>
    <w:p>
      <w:pPr>
        <w:pStyle w:val="ListBullet"/>
        <w:spacing w:after="30" w:before="0" w:line="269" w:lineRule="auto"/>
      </w:pPr>
      <w:r>
        <w:rPr>
          <w:rFonts w:ascii="宋体" w:hAnsi="宋体" w:eastAsia="宋体"/>
          <w:b w:val="0"/>
          <w:sz w:val="21"/>
        </w:rPr>
        <w:t>证书：证券从业、基金从业、银行从业、计算机二级；英语六级558，可阅读英文文献。</w:t>
      </w:r>
    </w:p>
    <w:p>
      <w:pPr>
        <w:spacing w:before="160"/>
        <w:jc w:val="right"/>
      </w:pPr>
      <w:r>
        <w:rPr>
          <w:rFonts w:ascii="宋体" w:hAnsi="宋体" w:eastAsia="宋体"/>
          <w:b w:val="0"/>
          <w:color w:val="888888"/>
          <w:sz w:val="17"/>
        </w:rPr>
        <w:t>简历更新：2026年8月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