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432"/>
        <w:tblLayout w:type="fixed"/>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515"/>
        <w:gridCol w:w="6917"/>
      </w:tblGrid>
      <w:tr>
        <w:trPr>
          <w:cantSplit/>
        </w:trPr>
        <w:tc>
          <w:tcPr>
            <w:tcW w:type="dxa" w:w="5216"/>
            <w:tcMar>
              <w:top w:w="28" w:type="dxa"/>
              <w:bottom w:w="28" w:type="dxa"/>
              <w:left w:w="28" w:type="dxa"/>
              <w:right w:w="141" w:type="dxa"/>
            </w:tcMar>
          </w:tcPr>
          <w:p>
            <w:pPr>
              <w:spacing w:before="0" w:after="80" w:line="252" w:lineRule="auto"/>
              <w:jc w:val="center"/>
            </w:pPr>
            <w:r>
              <w:drawing>
                <wp:inline xmlns:a="http://schemas.openxmlformats.org/drawingml/2006/main" xmlns:pic="http://schemas.openxmlformats.org/drawingml/2006/picture">
                  <wp:extent cx="1188000" cy="1663200"/>
                  <wp:docPr id="1" name="Picture 1"/>
                  <wp:cNvGraphicFramePr>
                    <a:graphicFrameLocks noChangeAspect="1"/>
                  </wp:cNvGraphicFramePr>
                  <a:graphic>
                    <a:graphicData uri="http://schemas.openxmlformats.org/drawingml/2006/picture">
                      <pic:pic>
                        <pic:nvPicPr>
                          <pic:cNvPr id="0" name="img-p1-0.png"/>
                          <pic:cNvPicPr/>
                        </pic:nvPicPr>
                        <pic:blipFill>
                          <a:blip r:embed="rId9"/>
                          <a:stretch>
                            <a:fillRect/>
                          </a:stretch>
                        </pic:blipFill>
                        <pic:spPr>
                          <a:xfrm>
                            <a:off x="0" y="0"/>
                            <a:ext cx="1188000" cy="1663200"/>
                          </a:xfrm>
                          <a:prstGeom prst="rect"/>
                        </pic:spPr>
                      </pic:pic>
                    </a:graphicData>
                  </a:graphic>
                </wp:inline>
              </w:drawing>
            </w:r>
          </w:p>
          <w:p>
            <w:pPr>
              <w:spacing w:before="40" w:after="120" w:line="252" w:lineRule="auto"/>
              <w:jc w:val="center"/>
            </w:pPr>
            <w:r>
              <w:rPr>
                <w:rFonts w:ascii="微软雅黑" w:hAnsi="微软雅黑" w:eastAsia="微软雅黑"/>
                <w:b/>
                <w:color w:val="41709C"/>
                <w:sz w:val="32"/>
              </w:rPr>
              <w:t>殷维</w:t>
            </w:r>
          </w:p>
          <w:tbl>
            <w:tblPr>
              <w:tblW w:type="auto" w:w="0"/>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16"/>
            </w:tblGrid>
            <w:tr>
              <w:tc>
                <w:tcPr>
                  <w:tcW w:type="dxa" w:w="5216"/>
                  <w:shd w:val="clear" w:color="auto" w:fill="2C3D50"/>
                  <w:tcMar>
                    <w:top w:w="45" w:type="dxa"/>
                    <w:bottom w:w="45" w:type="dxa"/>
                    <w:left w:w="102" w:type="dxa"/>
                    <w:right w:w="56" w:type="dxa"/>
                  </w:tcMar>
                </w:tcPr>
                <w:p>
                  <w:pPr>
                    <w:spacing w:before="0" w:after="0" w:line="240" w:lineRule="auto"/>
                  </w:pPr>
                  <w:r>
                    <w:rPr>
                      <w:rFonts w:ascii="微软雅黑" w:hAnsi="微软雅黑" w:eastAsia="微软雅黑"/>
                      <w:b/>
                      <w:color w:val="FFFFFF"/>
                      <w:sz w:val="22"/>
                    </w:rPr>
                    <w:t>个人资料</w:t>
                  </w:r>
                </w:p>
              </w:tc>
            </w:tr>
          </w:tbl>
          <w:p/>
          <w:p>
            <w:pPr>
              <w:spacing w:before="20" w:after="20" w:line="259" w:lineRule="auto"/>
            </w:pPr>
            <w:r>
              <w:rPr>
                <w:rFonts w:ascii="微软雅黑" w:hAnsi="微软雅黑" w:eastAsia="微软雅黑"/>
                <w:b w:val="0"/>
                <w:color w:val="4A4A4A"/>
                <w:sz w:val="19"/>
              </w:rPr>
              <w:t>性    别：</w:t>
            </w:r>
            <w:r>
              <w:rPr>
                <w:rFonts w:ascii="微软雅黑" w:hAnsi="微软雅黑" w:eastAsia="微软雅黑"/>
                <w:b w:val="0"/>
                <w:color w:val="222222"/>
                <w:sz w:val="19"/>
              </w:rPr>
              <w:t>女</w:t>
            </w:r>
          </w:p>
          <w:p>
            <w:pPr>
              <w:spacing w:before="20" w:after="20" w:line="259" w:lineRule="auto"/>
            </w:pPr>
            <w:r>
              <w:rPr>
                <w:rFonts w:ascii="微软雅黑" w:hAnsi="微软雅黑" w:eastAsia="微软雅黑"/>
                <w:b w:val="0"/>
                <w:color w:val="4A4A4A"/>
                <w:sz w:val="19"/>
              </w:rPr>
              <w:t>年    龄：</w:t>
            </w:r>
            <w:r>
              <w:rPr>
                <w:rFonts w:ascii="微软雅黑" w:hAnsi="微软雅黑" w:eastAsia="微软雅黑"/>
                <w:b w:val="0"/>
                <w:color w:val="222222"/>
                <w:sz w:val="19"/>
              </w:rPr>
              <w:t>31 岁</w:t>
            </w:r>
          </w:p>
          <w:p>
            <w:pPr>
              <w:spacing w:before="20" w:after="20" w:line="259" w:lineRule="auto"/>
            </w:pPr>
            <w:r>
              <w:rPr>
                <w:rFonts w:ascii="微软雅黑" w:hAnsi="微软雅黑" w:eastAsia="微软雅黑"/>
                <w:b w:val="0"/>
                <w:color w:val="4A4A4A"/>
                <w:sz w:val="19"/>
              </w:rPr>
              <w:t>籍    贯：</w:t>
            </w:r>
            <w:r>
              <w:rPr>
                <w:rFonts w:ascii="微软雅黑" w:hAnsi="微软雅黑" w:eastAsia="微软雅黑"/>
                <w:b w:val="0"/>
                <w:color w:val="222222"/>
                <w:sz w:val="19"/>
              </w:rPr>
              <w:t>湖北武汉</w:t>
            </w:r>
          </w:p>
          <w:p>
            <w:pPr>
              <w:spacing w:before="20" w:after="20" w:line="259" w:lineRule="auto"/>
            </w:pPr>
            <w:r>
              <w:rPr>
                <w:rFonts w:ascii="微软雅黑" w:hAnsi="微软雅黑" w:eastAsia="微软雅黑"/>
                <w:b w:val="0"/>
                <w:color w:val="4A4A4A"/>
                <w:sz w:val="19"/>
              </w:rPr>
              <w:t>政治面貌：</w:t>
            </w:r>
            <w:r>
              <w:rPr>
                <w:rFonts w:ascii="微软雅黑" w:hAnsi="微软雅黑" w:eastAsia="微软雅黑"/>
                <w:b w:val="0"/>
                <w:color w:val="222222"/>
                <w:sz w:val="19"/>
              </w:rPr>
              <w:t>中共党员</w:t>
            </w:r>
          </w:p>
          <w:p>
            <w:pPr>
              <w:spacing w:before="20" w:after="20" w:line="259" w:lineRule="auto"/>
            </w:pPr>
            <w:r>
              <w:rPr>
                <w:rFonts w:ascii="微软雅黑" w:hAnsi="微软雅黑" w:eastAsia="微软雅黑"/>
                <w:b w:val="0"/>
                <w:color w:val="4A4A4A"/>
                <w:sz w:val="19"/>
              </w:rPr>
              <w:t>专    业：</w:t>
            </w:r>
            <w:r>
              <w:rPr>
                <w:rFonts w:ascii="微软雅黑" w:hAnsi="微软雅黑" w:eastAsia="微软雅黑"/>
                <w:b w:val="0"/>
                <w:color w:val="222222"/>
                <w:sz w:val="19"/>
              </w:rPr>
              <w:t>金融</w:t>
            </w:r>
          </w:p>
          <w:p>
            <w:pPr>
              <w:spacing w:before="20" w:after="20" w:line="259" w:lineRule="auto"/>
            </w:pPr>
            <w:r>
              <w:rPr>
                <w:rFonts w:ascii="微软雅黑" w:hAnsi="微软雅黑" w:eastAsia="微软雅黑"/>
                <w:b w:val="0"/>
                <w:color w:val="4A4A4A"/>
                <w:sz w:val="19"/>
              </w:rPr>
              <w:t>学    历：</w:t>
            </w:r>
            <w:r>
              <w:rPr>
                <w:rFonts w:ascii="微软雅黑" w:hAnsi="微软雅黑" w:eastAsia="微软雅黑"/>
                <w:b w:val="0"/>
                <w:color w:val="222222"/>
                <w:sz w:val="19"/>
              </w:rPr>
              <w:t>硕士</w:t>
            </w:r>
          </w:p>
          <w:p>
            <w:pPr>
              <w:spacing w:before="20" w:after="20" w:line="259" w:lineRule="auto"/>
            </w:pPr>
            <w:r>
              <w:rPr>
                <w:rFonts w:ascii="微软雅黑" w:hAnsi="微软雅黑" w:eastAsia="微软雅黑"/>
                <w:b w:val="0"/>
                <w:color w:val="4A4A4A"/>
                <w:sz w:val="19"/>
              </w:rPr>
              <w:t>身    高：</w:t>
            </w:r>
            <w:r>
              <w:rPr>
                <w:rFonts w:ascii="微软雅黑" w:hAnsi="微软雅黑" w:eastAsia="微软雅黑"/>
                <w:b w:val="0"/>
                <w:color w:val="222222"/>
                <w:sz w:val="19"/>
              </w:rPr>
              <w:t>165cm</w:t>
            </w:r>
          </w:p>
          <w:p>
            <w:pPr>
              <w:spacing w:before="160" w:after="80" w:line="252" w:lineRule="auto"/>
            </w:pPr>
          </w:p>
          <w:tbl>
            <w:tblPr>
              <w:tblW w:type="auto" w:w="0"/>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16"/>
            </w:tblGrid>
            <w:tr>
              <w:tc>
                <w:tcPr>
                  <w:tcW w:type="dxa" w:w="5216"/>
                  <w:shd w:val="clear" w:color="auto" w:fill="2C3D50"/>
                  <w:tcMar>
                    <w:top w:w="45" w:type="dxa"/>
                    <w:bottom w:w="45" w:type="dxa"/>
                    <w:left w:w="102" w:type="dxa"/>
                    <w:right w:w="56" w:type="dxa"/>
                  </w:tcMar>
                </w:tcPr>
                <w:p>
                  <w:pPr>
                    <w:spacing w:before="0" w:after="0" w:line="240" w:lineRule="auto"/>
                  </w:pPr>
                  <w:r>
                    <w:rPr>
                      <w:rFonts w:ascii="微软雅黑" w:hAnsi="微软雅黑" w:eastAsia="微软雅黑"/>
                      <w:b/>
                      <w:color w:val="FFFFFF"/>
                      <w:sz w:val="22"/>
                    </w:rPr>
                    <w:t>联系方式</w:t>
                  </w:r>
                </w:p>
              </w:tc>
            </w:tr>
          </w:tbl>
          <w:p/>
          <w:p>
            <w:pPr>
              <w:spacing w:before="20" w:after="20" w:line="259" w:lineRule="auto"/>
            </w:pPr>
            <w:r>
              <w:rPr>
                <w:rFonts w:ascii="微软雅黑" w:hAnsi="微软雅黑" w:eastAsia="微软雅黑"/>
                <w:b w:val="0"/>
                <w:color w:val="4A4A4A"/>
                <w:sz w:val="19"/>
              </w:rPr>
              <w:t>手机：</w:t>
            </w:r>
            <w:r>
              <w:rPr>
                <w:rFonts w:ascii="微软雅黑" w:hAnsi="微软雅黑" w:eastAsia="微软雅黑"/>
                <w:b w:val="0"/>
                <w:color w:val="222222"/>
                <w:sz w:val="19"/>
              </w:rPr>
              <w:t>15671678098</w:t>
            </w:r>
          </w:p>
          <w:p>
            <w:pPr>
              <w:spacing w:before="20" w:after="20" w:line="259" w:lineRule="auto"/>
            </w:pPr>
            <w:r>
              <w:rPr>
                <w:rFonts w:ascii="微软雅黑" w:hAnsi="微软雅黑" w:eastAsia="微软雅黑"/>
                <w:b w:val="0"/>
                <w:color w:val="4A4A4A"/>
                <w:sz w:val="19"/>
              </w:rPr>
              <w:t>邮箱：</w:t>
            </w:r>
            <w:r>
              <w:rPr>
                <w:rFonts w:ascii="微软雅黑" w:hAnsi="微软雅黑" w:eastAsia="微软雅黑"/>
                <w:b w:val="0"/>
                <w:color w:val="222222"/>
                <w:sz w:val="19"/>
              </w:rPr>
              <w:t>yw43@foxmail.com</w:t>
            </w:r>
          </w:p>
          <w:p>
            <w:pPr>
              <w:spacing w:before="20" w:after="20" w:line="259" w:lineRule="auto"/>
            </w:pPr>
            <w:r>
              <w:rPr>
                <w:rFonts w:ascii="微软雅黑" w:hAnsi="微软雅黑" w:eastAsia="微软雅黑"/>
                <w:b w:val="0"/>
                <w:color w:val="4A4A4A"/>
                <w:sz w:val="19"/>
              </w:rPr>
              <w:t>地址：</w:t>
            </w:r>
            <w:r>
              <w:rPr>
                <w:rFonts w:ascii="微软雅黑" w:hAnsi="微软雅黑" w:eastAsia="微软雅黑"/>
                <w:b w:val="0"/>
                <w:color w:val="222222"/>
                <w:sz w:val="19"/>
              </w:rPr>
              <w:t>武汉市青山区</w:t>
            </w:r>
          </w:p>
          <w:p>
            <w:pPr>
              <w:spacing w:before="160" w:after="80" w:line="252" w:lineRule="auto"/>
            </w:pPr>
          </w:p>
          <w:tbl>
            <w:tblPr>
              <w:tblW w:type="auto" w:w="0"/>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216"/>
            </w:tblGrid>
            <w:tr>
              <w:tc>
                <w:tcPr>
                  <w:tcW w:type="dxa" w:w="5216"/>
                  <w:shd w:val="clear" w:color="auto" w:fill="2C3D50"/>
                  <w:tcMar>
                    <w:top w:w="45" w:type="dxa"/>
                    <w:bottom w:w="45" w:type="dxa"/>
                    <w:left w:w="102" w:type="dxa"/>
                    <w:right w:w="56" w:type="dxa"/>
                  </w:tcMar>
                </w:tcPr>
                <w:p>
                  <w:pPr>
                    <w:spacing w:before="0" w:after="0" w:line="240" w:lineRule="auto"/>
                  </w:pPr>
                  <w:r>
                    <w:rPr>
                      <w:rFonts w:ascii="微软雅黑" w:hAnsi="微软雅黑" w:eastAsia="微软雅黑"/>
                      <w:b/>
                      <w:color w:val="FFFFFF"/>
                      <w:sz w:val="22"/>
                    </w:rPr>
                    <w:t>掌握技能</w:t>
                  </w:r>
                </w:p>
              </w:tc>
            </w:tr>
          </w:tbl>
          <w:p/>
          <w:p>
            <w:pPr>
              <w:spacing w:before="80" w:after="20" w:line="252" w:lineRule="auto"/>
            </w:pPr>
            <w:r>
              <w:rPr>
                <w:rFonts w:ascii="微软雅黑" w:hAnsi="微软雅黑" w:eastAsia="微软雅黑"/>
                <w:b/>
                <w:color w:val="2C3D50"/>
                <w:sz w:val="19"/>
              </w:rPr>
              <w:t>技能</w:t>
            </w:r>
          </w:p>
          <w:p>
            <w:pPr>
              <w:spacing w:before="20" w:after="20" w:line="240" w:lineRule="auto"/>
            </w:pPr>
            <w:r>
              <w:rPr>
                <w:rFonts w:ascii="微软雅黑" w:hAnsi="微软雅黑" w:eastAsia="微软雅黑"/>
                <w:b w:val="0"/>
                <w:color w:val="4A4A4A"/>
                <w:sz w:val="18"/>
              </w:rPr>
              <w:t xml:space="preserve">Python:  </w:t>
            </w:r>
            <w:r>
              <w:rPr>
                <w:rFonts w:ascii="微软雅黑" w:hAnsi="微软雅黑" w:eastAsia="微软雅黑"/>
                <w:b w:val="0"/>
                <w:color w:val="2C3D50"/>
                <w:sz w:val="16"/>
              </w:rPr>
              <w:t>■■■■■■■■■□</w:t>
            </w:r>
          </w:p>
          <w:p>
            <w:pPr>
              <w:spacing w:before="20" w:after="20" w:line="240" w:lineRule="auto"/>
            </w:pPr>
            <w:r>
              <w:rPr>
                <w:rFonts w:ascii="微软雅黑" w:hAnsi="微软雅黑" w:eastAsia="微软雅黑"/>
                <w:b w:val="0"/>
                <w:color w:val="4A4A4A"/>
                <w:sz w:val="18"/>
              </w:rPr>
              <w:t xml:space="preserve">Stata：  </w:t>
            </w:r>
            <w:r>
              <w:rPr>
                <w:rFonts w:ascii="微软雅黑" w:hAnsi="微软雅黑" w:eastAsia="微软雅黑"/>
                <w:b w:val="0"/>
                <w:color w:val="2C3D50"/>
                <w:sz w:val="16"/>
              </w:rPr>
              <w:t>■■■■■■■■□□</w:t>
            </w:r>
          </w:p>
          <w:p>
            <w:pPr>
              <w:spacing w:before="20" w:after="20" w:line="240" w:lineRule="auto"/>
            </w:pPr>
            <w:r>
              <w:rPr>
                <w:rFonts w:ascii="微软雅黑" w:hAnsi="微软雅黑" w:eastAsia="微软雅黑"/>
                <w:b w:val="0"/>
                <w:color w:val="4A4A4A"/>
                <w:sz w:val="18"/>
              </w:rPr>
              <w:t xml:space="preserve">Excel：  </w:t>
            </w:r>
            <w:r>
              <w:rPr>
                <w:rFonts w:ascii="微软雅黑" w:hAnsi="微软雅黑" w:eastAsia="微软雅黑"/>
                <w:b w:val="0"/>
                <w:color w:val="2C3D50"/>
                <w:sz w:val="16"/>
              </w:rPr>
              <w:t>■■■■■■■□□□</w:t>
            </w:r>
          </w:p>
          <w:p>
            <w:pPr>
              <w:spacing w:before="120" w:after="20" w:line="252" w:lineRule="auto"/>
            </w:pPr>
            <w:r>
              <w:rPr>
                <w:rFonts w:ascii="微软雅黑" w:hAnsi="微软雅黑" w:eastAsia="微软雅黑"/>
                <w:b/>
                <w:color w:val="2C3D50"/>
                <w:sz w:val="19"/>
              </w:rPr>
              <w:t>语言</w:t>
            </w:r>
          </w:p>
          <w:p>
            <w:pPr>
              <w:spacing w:before="20" w:after="20" w:line="240" w:lineRule="auto"/>
            </w:pPr>
            <w:r>
              <w:rPr>
                <w:rFonts w:ascii="微软雅黑" w:hAnsi="微软雅黑" w:eastAsia="微软雅黑"/>
                <w:b w:val="0"/>
                <w:color w:val="4A4A4A"/>
                <w:sz w:val="18"/>
              </w:rPr>
              <w:t xml:space="preserve">普通话：  </w:t>
            </w:r>
            <w:r>
              <w:rPr>
                <w:rFonts w:ascii="微软雅黑" w:hAnsi="微软雅黑" w:eastAsia="微软雅黑"/>
                <w:b w:val="0"/>
                <w:color w:val="2C3D50"/>
                <w:sz w:val="16"/>
              </w:rPr>
              <w:t>■■■■■■■■■□</w:t>
            </w:r>
          </w:p>
          <w:p>
            <w:pPr>
              <w:spacing w:before="20" w:after="20" w:line="240" w:lineRule="auto"/>
            </w:pPr>
            <w:r>
              <w:rPr>
                <w:rFonts w:ascii="微软雅黑" w:hAnsi="微软雅黑" w:eastAsia="微软雅黑"/>
                <w:b w:val="0"/>
                <w:color w:val="4A4A4A"/>
                <w:sz w:val="18"/>
              </w:rPr>
              <w:t xml:space="preserve">英语：  </w:t>
            </w:r>
            <w:r>
              <w:rPr>
                <w:rFonts w:ascii="微软雅黑" w:hAnsi="微软雅黑" w:eastAsia="微软雅黑"/>
                <w:b w:val="0"/>
                <w:color w:val="2C3D50"/>
                <w:sz w:val="16"/>
              </w:rPr>
              <w:t>■■■■■□□□□□</w:t>
            </w:r>
          </w:p>
        </w:tc>
        <w:tc>
          <w:tcPr>
            <w:tcW w:type="dxa" w:w="5216"/>
            <w:tcMar>
              <w:top w:w="28" w:type="dxa"/>
              <w:bottom w:w="28" w:type="dxa"/>
              <w:left w:w="141" w:type="dxa"/>
              <w:right w:w="28" w:type="dxa"/>
            </w:tcMar>
          </w:tcPr>
          <w:p>
            <w:pPr>
              <w:spacing w:before="0" w:after="80" w:line="240" w:lineRule="auto"/>
              <w:pBdr>
                <w:bottom w:val="single" w:sz="12" w:space="1" w:color="41709C"/>
              </w:pBdr>
            </w:pPr>
            <w:r>
              <w:rPr>
                <w:rFonts w:ascii="微软雅黑" w:hAnsi="微软雅黑" w:eastAsia="微软雅黑"/>
                <w:b/>
                <w:color w:val="41709C"/>
                <w:sz w:val="26"/>
              </w:rPr>
              <w:t>教育背景</w:t>
            </w:r>
          </w:p>
          <w:p>
            <w:pPr>
              <w:spacing w:before="80" w:after="20" w:line="259" w:lineRule="auto"/>
            </w:pPr>
            <w:r>
              <w:rPr>
                <w:rFonts w:ascii="微软雅黑" w:hAnsi="微软雅黑" w:eastAsia="微软雅黑"/>
                <w:b w:val="0"/>
                <w:color w:val="222222"/>
                <w:sz w:val="20"/>
              </w:rPr>
              <w:t>2017.09-2019.06    华中科技大学    金融    硕士（全日制）</w:t>
            </w:r>
          </w:p>
          <w:p>
            <w:pPr>
              <w:spacing w:before="0" w:after="40" w:line="259" w:lineRule="auto"/>
            </w:pPr>
            <w:r>
              <w:rPr>
                <w:rFonts w:ascii="微软雅黑" w:hAnsi="微软雅黑" w:eastAsia="微软雅黑"/>
                <w:b w:val="0"/>
                <w:color w:val="222222"/>
                <w:sz w:val="20"/>
              </w:rPr>
              <w:t>2013.09-2017.06    武汉科技大学    机械工程    本科（全日制）</w:t>
            </w:r>
          </w:p>
          <w:p/>
          <w:p>
            <w:pPr>
              <w:spacing w:before="160" w:after="80" w:line="240" w:lineRule="auto"/>
              <w:pBdr>
                <w:bottom w:val="single" w:sz="12" w:space="1" w:color="41709C"/>
              </w:pBdr>
            </w:pPr>
            <w:r>
              <w:rPr>
                <w:rFonts w:ascii="微软雅黑" w:hAnsi="微软雅黑" w:eastAsia="微软雅黑"/>
                <w:b/>
                <w:color w:val="41709C"/>
                <w:sz w:val="26"/>
              </w:rPr>
              <w:t>主修课程</w:t>
            </w:r>
          </w:p>
          <w:p>
            <w:pPr>
              <w:spacing w:before="80" w:after="20" w:line="259" w:lineRule="auto"/>
            </w:pPr>
            <w:r>
              <w:rPr>
                <w:rFonts w:ascii="微软雅黑" w:hAnsi="微软雅黑" w:eastAsia="微软雅黑"/>
                <w:b w:val="0"/>
                <w:color w:val="222222"/>
                <w:sz w:val="19"/>
              </w:rPr>
              <w:t>考研成绩：总分（405/500）数学（130/150）英语（79/100）专业课（134/150）</w:t>
            </w:r>
          </w:p>
          <w:p>
            <w:pPr>
              <w:spacing w:before="0" w:after="40" w:line="259" w:lineRule="auto"/>
            </w:pPr>
            <w:r>
              <w:rPr>
                <w:rFonts w:ascii="微软雅黑" w:hAnsi="微软雅黑" w:eastAsia="微软雅黑"/>
                <w:b w:val="0"/>
                <w:color w:val="222222"/>
                <w:sz w:val="19"/>
              </w:rPr>
              <w:t>主修课程：量化投资、财务报表分析、金融建模与计算、数理统计等</w:t>
            </w:r>
          </w:p>
          <w:p/>
          <w:p>
            <w:pPr>
              <w:spacing w:before="160" w:after="80" w:line="240" w:lineRule="auto"/>
              <w:pBdr>
                <w:bottom w:val="single" w:sz="12" w:space="1" w:color="41709C"/>
              </w:pBdr>
            </w:pPr>
            <w:r>
              <w:rPr>
                <w:rFonts w:ascii="微软雅黑" w:hAnsi="微软雅黑" w:eastAsia="微软雅黑"/>
                <w:b/>
                <w:color w:val="41709C"/>
                <w:sz w:val="26"/>
              </w:rPr>
              <w:t>工作经历</w:t>
            </w:r>
          </w:p>
          <w:p>
            <w:pPr>
              <w:spacing w:before="160" w:after="0" w:line="252" w:lineRule="auto"/>
            </w:pPr>
            <w:r>
              <w:rPr>
                <w:rFonts w:ascii="微软雅黑" w:hAnsi="微软雅黑" w:eastAsia="微软雅黑"/>
                <w:b w:val="0"/>
                <w:color w:val="4A4A4A"/>
                <w:sz w:val="19"/>
              </w:rPr>
              <w:t>2024.03-2026.06</w:t>
            </w:r>
            <w:r>
              <w:rPr>
                <w:rFonts w:ascii="微软雅黑" w:hAnsi="微软雅黑" w:eastAsia="微软雅黑"/>
                <w:b/>
                <w:color w:val="2C3D50"/>
                <w:sz w:val="21"/>
              </w:rPr>
              <w:t xml:space="preserve">    量化研究工作室</w:t>
            </w:r>
          </w:p>
          <w:p>
            <w:pPr>
              <w:spacing w:before="0" w:after="40" w:line="252" w:lineRule="auto"/>
            </w:pPr>
            <w:r>
              <w:rPr>
                <w:rFonts w:ascii="微软雅黑" w:hAnsi="微软雅黑" w:eastAsia="微软雅黑"/>
                <w:b/>
                <w:color w:val="41709C"/>
                <w:sz w:val="19"/>
              </w:rPr>
              <w:t>独立研究员</w:t>
            </w:r>
          </w:p>
          <w:p>
            <w:pPr>
              <w:spacing w:before="0" w:after="20" w:line="259" w:lineRule="auto"/>
            </w:pPr>
            <w:r>
              <w:rPr>
                <w:rFonts w:ascii="微软雅黑" w:hAnsi="微软雅黑" w:eastAsia="微软雅黑"/>
                <w:b w:val="0"/>
                <w:color w:val="222222"/>
                <w:sz w:val="19"/>
              </w:rPr>
              <w:t>1、结合宏观与行业研究框架，研究热点赛道轮动，为策略定调提供参考。</w:t>
            </w:r>
          </w:p>
          <w:p>
            <w:pPr>
              <w:spacing w:before="0" w:after="20" w:line="259" w:lineRule="auto"/>
            </w:pPr>
            <w:r>
              <w:rPr>
                <w:rFonts w:ascii="微软雅黑" w:hAnsi="微软雅黑" w:eastAsia="微软雅黑"/>
                <w:b w:val="0"/>
                <w:color w:val="222222"/>
                <w:sz w:val="19"/>
              </w:rPr>
              <w:t>2、搭建标准化财务选股模型，构建季度更新核心股票池，精准筛选优质个股标的。</w:t>
            </w:r>
          </w:p>
          <w:p>
            <w:pPr>
              <w:spacing w:before="0" w:after="20" w:line="259" w:lineRule="auto"/>
            </w:pPr>
            <w:r>
              <w:rPr>
                <w:rFonts w:ascii="微软雅黑" w:hAnsi="微软雅黑" w:eastAsia="微软雅黑"/>
                <w:b w:val="0"/>
                <w:color w:val="222222"/>
                <w:sz w:val="19"/>
              </w:rPr>
              <w:t>3、结合短线指标，完善个股买卖点参考逻辑。</w:t>
            </w:r>
          </w:p>
          <w:p>
            <w:pPr>
              <w:spacing w:before="160" w:after="0" w:line="252" w:lineRule="auto"/>
            </w:pPr>
            <w:r>
              <w:rPr>
                <w:rFonts w:ascii="微软雅黑" w:hAnsi="微软雅黑" w:eastAsia="微软雅黑"/>
                <w:b w:val="0"/>
                <w:color w:val="4A4A4A"/>
                <w:sz w:val="19"/>
              </w:rPr>
              <w:t>2023.10-2024.02</w:t>
            </w:r>
            <w:r>
              <w:rPr>
                <w:rFonts w:ascii="微软雅黑" w:hAnsi="微软雅黑" w:eastAsia="微软雅黑"/>
                <w:b/>
                <w:color w:val="2C3D50"/>
                <w:sz w:val="21"/>
              </w:rPr>
              <w:t xml:space="preserve">    江铜产融控股有限公司</w:t>
            </w:r>
          </w:p>
          <w:p>
            <w:pPr>
              <w:spacing w:before="0" w:after="40" w:line="252" w:lineRule="auto"/>
            </w:pPr>
            <w:r>
              <w:rPr>
                <w:rFonts w:ascii="微软雅黑" w:hAnsi="微软雅黑" w:eastAsia="微软雅黑"/>
                <w:b/>
                <w:color w:val="41709C"/>
                <w:sz w:val="19"/>
              </w:rPr>
              <w:t>量化研究员</w:t>
            </w:r>
          </w:p>
          <w:p>
            <w:pPr>
              <w:spacing w:before="0" w:after="20" w:line="259" w:lineRule="auto"/>
            </w:pPr>
            <w:r>
              <w:rPr>
                <w:rFonts w:ascii="微软雅黑" w:hAnsi="微软雅黑" w:eastAsia="微软雅黑"/>
                <w:b w:val="0"/>
                <w:color w:val="222222"/>
                <w:sz w:val="19"/>
              </w:rPr>
              <w:t>1、对北上深量化私募进行调研前问卷设计、实地尽调，并根据调研情况撰写尽调报告。</w:t>
            </w:r>
          </w:p>
          <w:p>
            <w:pPr>
              <w:spacing w:before="0" w:after="20" w:line="259" w:lineRule="auto"/>
            </w:pPr>
            <w:r>
              <w:rPr>
                <w:rFonts w:ascii="微软雅黑" w:hAnsi="微软雅黑" w:eastAsia="微软雅黑"/>
                <w:b w:val="0"/>
                <w:color w:val="222222"/>
                <w:sz w:val="19"/>
              </w:rPr>
              <w:t>2、搭建二级市场研究框架，监控流动性等。</w:t>
            </w:r>
          </w:p>
          <w:p>
            <w:pPr>
              <w:spacing w:before="160" w:after="0" w:line="252" w:lineRule="auto"/>
            </w:pPr>
            <w:r>
              <w:rPr>
                <w:rFonts w:ascii="微软雅黑" w:hAnsi="微软雅黑" w:eastAsia="微软雅黑"/>
                <w:b w:val="0"/>
                <w:color w:val="4A4A4A"/>
                <w:sz w:val="19"/>
              </w:rPr>
              <w:t>2022.01-2023.09</w:t>
            </w:r>
            <w:r>
              <w:rPr>
                <w:rFonts w:ascii="微软雅黑" w:hAnsi="微软雅黑" w:eastAsia="微软雅黑"/>
                <w:b/>
                <w:color w:val="2C3D50"/>
                <w:sz w:val="21"/>
              </w:rPr>
              <w:t xml:space="preserve">    量盈私募基金管理有限公司</w:t>
            </w:r>
          </w:p>
          <w:p>
            <w:pPr>
              <w:spacing w:before="0" w:after="40" w:line="252" w:lineRule="auto"/>
            </w:pPr>
            <w:r>
              <w:rPr>
                <w:rFonts w:ascii="微软雅黑" w:hAnsi="微软雅黑" w:eastAsia="微软雅黑"/>
                <w:b/>
                <w:color w:val="41709C"/>
                <w:sz w:val="19"/>
              </w:rPr>
              <w:t>量化研究员</w:t>
            </w:r>
          </w:p>
          <w:p>
            <w:pPr>
              <w:spacing w:before="0" w:after="20" w:line="259" w:lineRule="auto"/>
            </w:pPr>
            <w:r>
              <w:rPr>
                <w:rFonts w:ascii="微软雅黑" w:hAnsi="微软雅黑" w:eastAsia="微软雅黑"/>
                <w:b w:val="0"/>
                <w:color w:val="222222"/>
                <w:sz w:val="19"/>
              </w:rPr>
              <w:t>1、使用聚宽、掘金等常见量化平台进行期货、股票因子挖掘、策略开发及回测优化。</w:t>
            </w:r>
          </w:p>
          <w:p>
            <w:pPr>
              <w:spacing w:before="0" w:after="20" w:line="259" w:lineRule="auto"/>
            </w:pPr>
            <w:r>
              <w:rPr>
                <w:rFonts w:ascii="微软雅黑" w:hAnsi="微软雅黑" w:eastAsia="微软雅黑"/>
                <w:b w:val="0"/>
                <w:color w:val="222222"/>
                <w:sz w:val="19"/>
              </w:rPr>
              <w:t>2、根据基金经理要求，使用 python 对券商金工等策略研报进行复现。</w:t>
            </w:r>
          </w:p>
          <w:p>
            <w:pPr>
              <w:spacing w:before="160" w:after="0" w:line="252" w:lineRule="auto"/>
            </w:pPr>
            <w:r>
              <w:rPr>
                <w:rFonts w:ascii="微软雅黑" w:hAnsi="微软雅黑" w:eastAsia="微软雅黑"/>
                <w:b w:val="0"/>
                <w:color w:val="4A4A4A"/>
                <w:sz w:val="19"/>
              </w:rPr>
              <w:t>2020.08-2021.12</w:t>
            </w:r>
            <w:r>
              <w:rPr>
                <w:rFonts w:ascii="微软雅黑" w:hAnsi="微软雅黑" w:eastAsia="微软雅黑"/>
                <w:b/>
                <w:color w:val="2C3D50"/>
                <w:sz w:val="21"/>
              </w:rPr>
              <w:t xml:space="preserve">    深圳引力波量化科技有限公司</w:t>
            </w:r>
          </w:p>
          <w:p>
            <w:pPr>
              <w:spacing w:before="0" w:after="40" w:line="252" w:lineRule="auto"/>
            </w:pPr>
            <w:r>
              <w:rPr>
                <w:rFonts w:ascii="微软雅黑" w:hAnsi="微软雅黑" w:eastAsia="微软雅黑"/>
                <w:b/>
                <w:color w:val="41709C"/>
                <w:sz w:val="19"/>
              </w:rPr>
              <w:t>量化研究员</w:t>
            </w:r>
          </w:p>
          <w:p>
            <w:pPr>
              <w:spacing w:before="0" w:after="20" w:line="259" w:lineRule="auto"/>
            </w:pPr>
            <w:r>
              <w:rPr>
                <w:rFonts w:ascii="微软雅黑" w:hAnsi="微软雅黑" w:eastAsia="微软雅黑"/>
                <w:b w:val="0"/>
                <w:color w:val="222222"/>
                <w:sz w:val="19"/>
              </w:rPr>
              <w:t>1、交易数据获取，熟练使用 Pandas、Numpy、Talib 等 package 对数据进行清洗、分析。</w:t>
            </w:r>
          </w:p>
          <w:p>
            <w:pPr>
              <w:spacing w:before="0" w:after="20" w:line="259" w:lineRule="auto"/>
            </w:pPr>
            <w:r>
              <w:rPr>
                <w:rFonts w:ascii="微软雅黑" w:hAnsi="微软雅黑" w:eastAsia="微软雅黑"/>
                <w:b w:val="0"/>
                <w:color w:val="222222"/>
                <w:sz w:val="19"/>
              </w:rPr>
              <w:t>2、量化策略开发等工作，包括套利、做市等方向，日常优化、维护交易策略。</w:t>
            </w:r>
          </w:p>
          <w:p>
            <w:pPr>
              <w:spacing w:before="160" w:after="0" w:line="252" w:lineRule="auto"/>
            </w:pPr>
            <w:r>
              <w:rPr>
                <w:rFonts w:ascii="微软雅黑" w:hAnsi="微软雅黑" w:eastAsia="微软雅黑"/>
                <w:b w:val="0"/>
                <w:color w:val="4A4A4A"/>
                <w:sz w:val="19"/>
              </w:rPr>
              <w:t>2019.07-2020.07</w:t>
            </w:r>
            <w:r>
              <w:rPr>
                <w:rFonts w:ascii="微软雅黑" w:hAnsi="微软雅黑" w:eastAsia="微软雅黑"/>
                <w:b/>
                <w:color w:val="2C3D50"/>
                <w:sz w:val="21"/>
              </w:rPr>
              <w:t xml:space="preserve">    中国平安财产保险股份有限公司</w:t>
            </w:r>
          </w:p>
          <w:p>
            <w:pPr>
              <w:spacing w:before="0" w:after="40" w:line="252" w:lineRule="auto"/>
            </w:pPr>
            <w:r>
              <w:rPr>
                <w:rFonts w:ascii="微软雅黑" w:hAnsi="微软雅黑" w:eastAsia="微软雅黑"/>
                <w:b/>
                <w:color w:val="41709C"/>
                <w:sz w:val="19"/>
              </w:rPr>
              <w:t>再保险业务管理岗（管培生）</w:t>
            </w:r>
          </w:p>
          <w:p>
            <w:pPr>
              <w:spacing w:before="0" w:after="20" w:line="259" w:lineRule="auto"/>
            </w:pPr>
            <w:r>
              <w:rPr>
                <w:rFonts w:ascii="微软雅黑" w:hAnsi="微软雅黑" w:eastAsia="微软雅黑"/>
                <w:b w:val="0"/>
                <w:color w:val="222222"/>
                <w:sz w:val="19"/>
              </w:rPr>
              <w:t>1、熟练使用 excel 对再保人资信进行月度更新、季度坏账计提、监控风险指标。</w:t>
            </w:r>
          </w:p>
          <w:p>
            <w:pPr>
              <w:spacing w:before="0" w:after="20" w:line="259" w:lineRule="auto"/>
            </w:pPr>
            <w:r>
              <w:rPr>
                <w:rFonts w:ascii="微软雅黑" w:hAnsi="微软雅黑" w:eastAsia="微软雅黑"/>
                <w:b w:val="0"/>
                <w:color w:val="222222"/>
                <w:sz w:val="19"/>
              </w:rPr>
              <w:t>2、根据再保险资信管理制度，通过市场及同业信息，审核交易对手资信情况。</w:t>
            </w:r>
          </w:p>
          <w:p>
            <w:pPr>
              <w:spacing w:before="0" w:after="20" w:line="259" w:lineRule="auto"/>
            </w:pPr>
            <w:r>
              <w:rPr>
                <w:rFonts w:ascii="微软雅黑" w:hAnsi="微软雅黑" w:eastAsia="微软雅黑"/>
                <w:b w:val="0"/>
                <w:color w:val="222222"/>
                <w:sz w:val="19"/>
              </w:rPr>
              <w:t>3、统计汇总不同业务场景分类下关联交易、非关联交易情况数据。</w:t>
            </w:r>
          </w:p>
        </w:tc>
      </w:tr>
    </w:tbl>
    <w:p>
      <w:r>
        <w:br w:type="page"/>
      </w:r>
    </w:p>
    <w:p>
      <w:pPr>
        <w:spacing w:before="0" w:after="80" w:line="240" w:lineRule="auto"/>
        <w:pBdr>
          <w:bottom w:val="single" w:sz="12" w:space="1" w:color="41709C"/>
        </w:pBdr>
      </w:pPr>
      <w:r>
        <w:rPr>
          <w:rFonts w:ascii="微软雅黑" w:hAnsi="微软雅黑" w:eastAsia="微软雅黑"/>
          <w:b/>
          <w:color w:val="41709C"/>
          <w:sz w:val="26"/>
        </w:rPr>
        <w:t>项目经历</w:t>
      </w:r>
    </w:p>
    <w:p>
      <w:pPr>
        <w:spacing w:before="200" w:after="40" w:line="252" w:lineRule="auto"/>
      </w:pPr>
      <w:r>
        <w:rPr>
          <w:rFonts w:ascii="微软雅黑" w:hAnsi="微软雅黑" w:eastAsia="微软雅黑"/>
          <w:b/>
          <w:color w:val="2C3D50"/>
          <w:sz w:val="22"/>
        </w:rPr>
        <w:t>●  股票短线多头策略</w:t>
      </w:r>
      <w:r>
        <w:rPr>
          <w:rFonts w:ascii="微软雅黑" w:hAnsi="微软雅黑" w:eastAsia="微软雅黑"/>
          <w:b w:val="0"/>
          <w:color w:val="4A4A4A"/>
          <w:sz w:val="19"/>
        </w:rPr>
        <w:t xml:space="preserve">                    2024.03-至今</w:t>
      </w:r>
    </w:p>
    <w:p>
      <w:pPr>
        <w:spacing w:before="0" w:after="20" w:line="259" w:lineRule="auto"/>
      </w:pPr>
      <w:r>
        <w:rPr>
          <w:rFonts w:ascii="微软雅黑" w:hAnsi="微软雅黑" w:eastAsia="微软雅黑"/>
          <w:b w:val="0"/>
          <w:color w:val="222222"/>
          <w:sz w:val="20"/>
        </w:rPr>
        <w:t>项目描述：二级市场研究</w:t>
      </w:r>
    </w:p>
    <w:p>
      <w:pPr>
        <w:spacing w:before="0" w:after="20" w:line="259" w:lineRule="auto"/>
      </w:pPr>
      <w:r>
        <w:rPr>
          <w:rFonts w:ascii="微软雅黑" w:hAnsi="微软雅黑" w:eastAsia="微软雅黑"/>
          <w:b w:val="0"/>
          <w:color w:val="222222"/>
          <w:sz w:val="20"/>
        </w:rPr>
        <w:t>个人职责：</w:t>
      </w:r>
    </w:p>
    <w:p>
      <w:pPr>
        <w:spacing w:before="0" w:after="20" w:line="259" w:lineRule="auto"/>
      </w:pPr>
      <w:r>
        <w:rPr>
          <w:rFonts w:ascii="微软雅黑" w:hAnsi="微软雅黑" w:eastAsia="微软雅黑"/>
          <w:b w:val="0"/>
          <w:color w:val="222222"/>
          <w:sz w:val="20"/>
        </w:rPr>
        <w:t>1、对宏观赛道进行行业研究，出具研究报告。</w:t>
      </w:r>
    </w:p>
    <w:p>
      <w:pPr>
        <w:spacing w:before="0" w:after="20" w:line="259" w:lineRule="auto"/>
      </w:pPr>
      <w:r>
        <w:rPr>
          <w:rFonts w:ascii="微软雅黑" w:hAnsi="微软雅黑" w:eastAsia="微软雅黑"/>
          <w:b w:val="0"/>
          <w:color w:val="222222"/>
          <w:sz w:val="20"/>
        </w:rPr>
        <w:t>2、搭建财报数据收集系统收集全市场个股基本面财报数据。</w:t>
      </w:r>
    </w:p>
    <w:p>
      <w:pPr>
        <w:spacing w:before="0" w:after="20" w:line="259" w:lineRule="auto"/>
      </w:pPr>
      <w:r>
        <w:rPr>
          <w:rFonts w:ascii="微软雅黑" w:hAnsi="微软雅黑" w:eastAsia="微软雅黑"/>
          <w:b w:val="0"/>
          <w:color w:val="222222"/>
          <w:sz w:val="20"/>
        </w:rPr>
        <w:t>3、编写业绩预报、快报爬虫，及时爬取个股相关业绩信息。</w:t>
      </w:r>
    </w:p>
    <w:p>
      <w:pPr>
        <w:spacing w:before="0" w:after="20" w:line="259" w:lineRule="auto"/>
      </w:pPr>
      <w:r>
        <w:rPr>
          <w:rFonts w:ascii="微软雅黑" w:hAnsi="微软雅黑" w:eastAsia="微软雅黑"/>
          <w:b w:val="0"/>
          <w:color w:val="222222"/>
          <w:sz w:val="20"/>
        </w:rPr>
        <w:t>项目业绩：取得较好的投资收益，并积累了较好的盘感及重度使用 AI 工具辅助任务的实践经验。2025 年资金加权收益率年化 60%，2026 年资金加权收益率年化 40%。</w:t>
      </w:r>
    </w:p>
    <w:p>
      <w:pPr>
        <w:spacing w:before="200" w:after="40" w:line="252" w:lineRule="auto"/>
      </w:pPr>
      <w:r>
        <w:rPr>
          <w:rFonts w:ascii="微软雅黑" w:hAnsi="微软雅黑" w:eastAsia="微软雅黑"/>
          <w:b/>
          <w:color w:val="2C3D50"/>
          <w:sz w:val="22"/>
        </w:rPr>
        <w:t>●  股票短线多头策略</w:t>
      </w:r>
      <w:r>
        <w:rPr>
          <w:rFonts w:ascii="微软雅黑" w:hAnsi="微软雅黑" w:eastAsia="微软雅黑"/>
          <w:b w:val="0"/>
          <w:color w:val="4A4A4A"/>
          <w:sz w:val="19"/>
        </w:rPr>
        <w:t xml:space="preserve">                    2022.07-至今</w:t>
      </w:r>
    </w:p>
    <w:p>
      <w:pPr>
        <w:spacing w:before="0" w:after="20" w:line="259" w:lineRule="auto"/>
      </w:pPr>
      <w:r>
        <w:rPr>
          <w:rFonts w:ascii="微软雅黑" w:hAnsi="微软雅黑" w:eastAsia="微软雅黑"/>
          <w:b w:val="0"/>
          <w:color w:val="222222"/>
          <w:sz w:val="20"/>
        </w:rPr>
        <w:t>项目描述：使用掘金平台开发股票短线多头策略，通过分钟级别板块因子组合日线级别量价因子进行择时选股获得超额收益。</w:t>
      </w:r>
    </w:p>
    <w:p>
      <w:pPr>
        <w:spacing w:before="0" w:after="20" w:line="259" w:lineRule="auto"/>
      </w:pPr>
      <w:r>
        <w:rPr>
          <w:rFonts w:ascii="微软雅黑" w:hAnsi="微软雅黑" w:eastAsia="微软雅黑"/>
          <w:b w:val="0"/>
          <w:color w:val="222222"/>
          <w:sz w:val="20"/>
        </w:rPr>
        <w:t>个人职责：</w:t>
      </w:r>
    </w:p>
    <w:p>
      <w:pPr>
        <w:spacing w:before="0" w:after="20" w:line="259" w:lineRule="auto"/>
      </w:pPr>
      <w:r>
        <w:rPr>
          <w:rFonts w:ascii="微软雅黑" w:hAnsi="微软雅黑" w:eastAsia="微软雅黑"/>
          <w:b w:val="0"/>
          <w:color w:val="222222"/>
          <w:sz w:val="20"/>
        </w:rPr>
        <w:t>1、通过分析量价关系，组合合适的择时、选股因子，结合入场、出场方式的选择，研发股票策略。</w:t>
      </w:r>
    </w:p>
    <w:p>
      <w:pPr>
        <w:spacing w:before="0" w:after="20" w:line="259" w:lineRule="auto"/>
      </w:pPr>
      <w:r>
        <w:rPr>
          <w:rFonts w:ascii="微软雅黑" w:hAnsi="微软雅黑" w:eastAsia="微软雅黑"/>
          <w:b w:val="0"/>
          <w:color w:val="222222"/>
          <w:sz w:val="20"/>
        </w:rPr>
        <w:t>2、对策略结果进行回测，对参数、因子组合进行优化。</w:t>
      </w:r>
    </w:p>
    <w:p>
      <w:pPr>
        <w:spacing w:before="0" w:after="20" w:line="259" w:lineRule="auto"/>
      </w:pPr>
      <w:r>
        <w:rPr>
          <w:rFonts w:ascii="微软雅黑" w:hAnsi="微软雅黑" w:eastAsia="微软雅黑"/>
          <w:b w:val="0"/>
          <w:color w:val="222222"/>
          <w:sz w:val="20"/>
        </w:rPr>
        <w:t>3、编写实盘策略版本，接入掘金每日更新数据。</w:t>
      </w:r>
    </w:p>
    <w:p>
      <w:pPr>
        <w:spacing w:before="0" w:after="20" w:line="259" w:lineRule="auto"/>
      </w:pPr>
      <w:r>
        <w:rPr>
          <w:rFonts w:ascii="微软雅黑" w:hAnsi="微软雅黑" w:eastAsia="微软雅黑"/>
          <w:b w:val="0"/>
          <w:color w:val="222222"/>
          <w:sz w:val="20"/>
        </w:rPr>
        <w:t>项目业绩：回测样本内最大回撤 2%，年化收益 17.14%，夏普比率 3.4。</w:t>
      </w:r>
    </w:p>
    <w:p>
      <w:pPr>
        <w:spacing w:before="200" w:after="40" w:line="252" w:lineRule="auto"/>
      </w:pPr>
      <w:r>
        <w:rPr>
          <w:rFonts w:ascii="微软雅黑" w:hAnsi="微软雅黑" w:eastAsia="微软雅黑"/>
          <w:b/>
          <w:color w:val="2C3D50"/>
          <w:sz w:val="22"/>
        </w:rPr>
        <w:t>●  期货 cta 策略研究</w:t>
      </w:r>
      <w:r>
        <w:rPr>
          <w:rFonts w:ascii="微软雅黑" w:hAnsi="微软雅黑" w:eastAsia="微软雅黑"/>
          <w:b w:val="0"/>
          <w:color w:val="4A4A4A"/>
          <w:sz w:val="19"/>
        </w:rPr>
        <w:t xml:space="preserve">                    2022.01-2022.03</w:t>
      </w:r>
    </w:p>
    <w:p>
      <w:pPr>
        <w:spacing w:before="0" w:after="20" w:line="259" w:lineRule="auto"/>
      </w:pPr>
      <w:r>
        <w:rPr>
          <w:rFonts w:ascii="微软雅黑" w:hAnsi="微软雅黑" w:eastAsia="微软雅黑"/>
          <w:b w:val="0"/>
          <w:color w:val="222222"/>
          <w:sz w:val="20"/>
        </w:rPr>
        <w:t>项目描述：使用 python 结合 tbquant 针对“基于期货的模式识别”进行策略开发及优化工作。</w:t>
      </w:r>
    </w:p>
    <w:p>
      <w:pPr>
        <w:spacing w:before="0" w:after="20" w:line="259" w:lineRule="auto"/>
      </w:pPr>
      <w:r>
        <w:rPr>
          <w:rFonts w:ascii="微软雅黑" w:hAnsi="微软雅黑" w:eastAsia="微软雅黑"/>
          <w:b w:val="0"/>
          <w:color w:val="222222"/>
          <w:sz w:val="20"/>
        </w:rPr>
        <w:t>个人职责：</w:t>
      </w:r>
    </w:p>
    <w:p>
      <w:pPr>
        <w:spacing w:before="0" w:after="20" w:line="259" w:lineRule="auto"/>
      </w:pPr>
      <w:r>
        <w:rPr>
          <w:rFonts w:ascii="微软雅黑" w:hAnsi="微软雅黑" w:eastAsia="微软雅黑"/>
          <w:b w:val="0"/>
          <w:color w:val="222222"/>
          <w:sz w:val="20"/>
        </w:rPr>
        <w:t>1、基于拓扑空间结构距离开发模式识别策略算法开发。</w:t>
      </w:r>
    </w:p>
    <w:p>
      <w:pPr>
        <w:spacing w:before="0" w:after="20" w:line="259" w:lineRule="auto"/>
      </w:pPr>
      <w:r>
        <w:rPr>
          <w:rFonts w:ascii="微软雅黑" w:hAnsi="微软雅黑" w:eastAsia="微软雅黑"/>
          <w:b w:val="0"/>
          <w:color w:val="222222"/>
          <w:sz w:val="20"/>
        </w:rPr>
        <w:t>2、模式识别策略应用于股指期货市场的回测情况进行优化。</w:t>
      </w:r>
    </w:p>
    <w:p>
      <w:pPr>
        <w:spacing w:before="0" w:after="20" w:line="259" w:lineRule="auto"/>
      </w:pPr>
      <w:r>
        <w:rPr>
          <w:rFonts w:ascii="微软雅黑" w:hAnsi="微软雅黑" w:eastAsia="微软雅黑"/>
          <w:b w:val="0"/>
          <w:color w:val="222222"/>
          <w:sz w:val="20"/>
        </w:rPr>
        <w:t>项目业绩：基于股指期货回测 2012-2018 年连续 7 年每年回测收益率为正，年化收益率 80%。</w:t>
      </w:r>
    </w:p>
    <w:p>
      <w:pPr>
        <w:spacing w:before="240" w:after="80" w:line="240" w:lineRule="auto"/>
        <w:pBdr>
          <w:bottom w:val="single" w:sz="12" w:space="1" w:color="41709C"/>
        </w:pBdr>
      </w:pPr>
      <w:r>
        <w:rPr>
          <w:rFonts w:ascii="微软雅黑" w:hAnsi="微软雅黑" w:eastAsia="微软雅黑"/>
          <w:b/>
          <w:color w:val="41709C"/>
          <w:sz w:val="26"/>
        </w:rPr>
        <w:t>荣誉技能</w:t>
      </w:r>
    </w:p>
    <w:p>
      <w:pPr>
        <w:spacing w:before="20" w:after="40" w:line="269" w:lineRule="auto"/>
      </w:pPr>
      <w:r>
        <w:rPr>
          <w:rFonts w:ascii="微软雅黑" w:hAnsi="微软雅黑" w:eastAsia="微软雅黑"/>
          <w:b w:val="0"/>
          <w:color w:val="222222"/>
          <w:sz w:val="21"/>
        </w:rPr>
        <w:t>证券从业资格证书、基金从业资格证书、银行从业资格证书</w:t>
      </w:r>
    </w:p>
    <w:p>
      <w:pPr>
        <w:spacing w:before="20" w:after="40" w:line="269" w:lineRule="auto"/>
      </w:pPr>
      <w:r>
        <w:rPr>
          <w:rFonts w:ascii="微软雅黑" w:hAnsi="微软雅黑" w:eastAsia="微软雅黑"/>
          <w:b w:val="0"/>
          <w:color w:val="222222"/>
          <w:sz w:val="21"/>
        </w:rPr>
        <w:t>计算机二级证书，熟练掌握 Stata、Excel、Access、PPT 等软件</w:t>
      </w:r>
    </w:p>
    <w:p>
      <w:pPr>
        <w:spacing w:before="20" w:after="40" w:line="269" w:lineRule="auto"/>
      </w:pPr>
      <w:r>
        <w:rPr>
          <w:rFonts w:ascii="微软雅黑" w:hAnsi="微软雅黑" w:eastAsia="微软雅黑"/>
          <w:b w:val="0"/>
          <w:color w:val="222222"/>
          <w:sz w:val="21"/>
        </w:rPr>
        <w:t>通过英语四、六级（558），快速阅读英文文献，交流能力良好</w:t>
      </w:r>
    </w:p>
    <w:p>
      <w:pPr>
        <w:spacing w:before="20" w:after="40" w:line="269" w:lineRule="auto"/>
      </w:pPr>
      <w:r>
        <w:rPr>
          <w:rFonts w:ascii="微软雅黑" w:hAnsi="微软雅黑" w:eastAsia="微软雅黑"/>
          <w:b w:val="0"/>
          <w:color w:val="222222"/>
          <w:sz w:val="21"/>
        </w:rPr>
        <w:t>熟练掌握 python 语言、matlab、wind 等软件，能使用 wind 结合 excel 进行金融数据分析</w:t>
      </w:r>
    </w:p>
    <w:p>
      <w:pPr>
        <w:spacing w:before="20" w:after="40" w:line="269" w:lineRule="auto"/>
      </w:pPr>
      <w:r>
        <w:rPr>
          <w:rFonts w:ascii="微软雅黑" w:hAnsi="微软雅黑" w:eastAsia="微软雅黑"/>
          <w:b w:val="0"/>
          <w:color w:val="222222"/>
          <w:sz w:val="21"/>
        </w:rPr>
        <w:t>基于股利贴现模型和量化分析，完成硕士毕业论文《医药行业上市公司价值评估研究--以云南白药为例》</w:t>
      </w:r>
    </w:p>
    <w:p>
      <w:pPr>
        <w:spacing w:before="20" w:after="40" w:line="269" w:lineRule="auto"/>
      </w:pPr>
      <w:r>
        <w:rPr>
          <w:rFonts w:ascii="微软雅黑" w:hAnsi="微软雅黑" w:eastAsia="微软雅黑"/>
          <w:b w:val="0"/>
          <w:color w:val="222222"/>
          <w:sz w:val="21"/>
        </w:rPr>
        <w:t>熟练使用前沿 AI 工具和模型，如 claude、cursor 等高效完成任务，了解 MCP 基本用法，能搭建 AI agent team 协同提效。</w:t>
      </w:r>
    </w:p>
    <w:sectPr w:rsidR="00FC693F" w:rsidRPr="0006063C" w:rsidSect="00034616">
      <w:pgSz w:w="11906" w:h="16838"/>
      <w:pgMar w:top="680" w:right="737" w:bottom="68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