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color w:val="1F3A5F"/>
          <w:sz w:val="32"/>
        </w:rPr>
        <w:t>殷  维</w:t>
      </w:r>
    </w:p>
    <w:p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color w:val="555555"/>
          <w:sz w:val="19"/>
        </w:rPr>
        <w:t>女  |  31岁  |  中共党员  |  湖北武汉  |  165cm  |  金融硕士</w:t>
      </w:r>
    </w:p>
    <w:p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color w:val="555555"/>
          <w:sz w:val="19"/>
        </w:rPr>
        <w:t>15671678098  |  yw43@foxmail.com  |  武汉市洪山区</w:t>
      </w:r>
    </w:p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20"/>
        </w:rPr>
        <w:t>求职意向：AI产品经理（交易创新方向）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rFonts w:ascii="微软雅黑" w:hAnsi="微软雅黑" w:eastAsia="微软雅黑"/>
          <w:b/>
          <w:color w:val="1F3A5F"/>
          <w:sz w:val="22"/>
        </w:rPr>
        <w:t>工  作  经  历</w:t>
      </w:r>
    </w:p>
    <w:p>
      <w:pPr>
        <w:spacing w:before="80" w:after="0" w:line="245" w:lineRule="auto"/>
      </w:pPr>
      <w:r>
        <w:rPr>
          <w:rFonts w:ascii="微软雅黑" w:hAnsi="微软雅黑" w:eastAsia="微软雅黑"/>
          <w:b/>
          <w:sz w:val="20"/>
        </w:rPr>
        <w:t>湖北正知资产管理有限公司（私募，中基协 P1007881）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|  AI投研 / 量化研究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 2026.06-至今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1、对比 WorkBuddy、Coze，部署投研智能体并对接微信、飞书，先打通可用再迭代；Linux 定时任务保证工作日可跑。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2、为看盘同事做盘中放量扫描，按上午 / 午盘 / 下午 / 收盘推送股票池要点。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3、把「强势股放量」收成带过滤的可回测规则（收盘价 / 前20日最低价 &lt; 130%），对照回测看最大单笔亏损变化，并记录低波动、下跌市失效。</w:t>
      </w:r>
    </w:p>
    <w:p>
      <w:pPr>
        <w:spacing w:before="80" w:after="0" w:line="245" w:lineRule="auto"/>
      </w:pPr>
      <w:r>
        <w:rPr>
          <w:rFonts w:ascii="微软雅黑" w:hAnsi="微软雅黑" w:eastAsia="微软雅黑"/>
          <w:b/>
          <w:sz w:val="20"/>
        </w:rPr>
        <w:t>量化研究工作室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|  二级市场研究员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 2024.03-2026.04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1、结合宏观与行业框架研究热点赛道轮动，搭建季度更新的财务选股池。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2、结合短线指标完善个股买卖点，自己看盘执行并复盘。</w:t>
      </w:r>
    </w:p>
    <w:p>
      <w:pPr>
        <w:spacing w:before="60" w:after="0" w:line="245" w:lineRule="auto"/>
      </w:pPr>
      <w:r>
        <w:rPr>
          <w:rFonts w:ascii="微软雅黑" w:hAnsi="微软雅黑" w:eastAsia="微软雅黑"/>
          <w:b/>
          <w:sz w:val="20"/>
        </w:rPr>
        <w:t>江西铜业产融控股有限公司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|  投资管理岗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 2023.10-2024.02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使用 tbquant、聚宽、掘金等平台做期货 / 股票因子与回测，按要求用 python 复现金工研报。</w:t>
      </w:r>
    </w:p>
    <w:p>
      <w:pPr>
        <w:spacing w:before="60" w:after="0" w:line="245" w:lineRule="auto"/>
      </w:pPr>
      <w:r>
        <w:rPr>
          <w:rFonts w:ascii="微软雅黑" w:hAnsi="微软雅黑" w:eastAsia="微软雅黑"/>
          <w:b/>
          <w:sz w:val="20"/>
        </w:rPr>
        <w:t>量盈私募基金管理有限公司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|  量化研究员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 2022.01-2023.09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期货、股票因子挖掘、策略开发及回测；按基金经理要求用 python 复现券商金工研报。</w:t>
      </w:r>
    </w:p>
    <w:p>
      <w:pPr>
        <w:spacing w:before="60" w:after="0" w:line="245" w:lineRule="auto"/>
      </w:pPr>
      <w:r>
        <w:rPr>
          <w:rFonts w:ascii="微软雅黑" w:hAnsi="微软雅黑" w:eastAsia="微软雅黑"/>
          <w:b/>
          <w:sz w:val="20"/>
        </w:rPr>
        <w:t>深圳引力波量化科技有限公司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|  量化研究员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 2020.08-2021.12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用 Pandas、Numpy、Talib 清洗交易数据；参与套利、做市策略的日常优化与维护。</w:t>
      </w:r>
    </w:p>
    <w:p>
      <w:pPr>
        <w:spacing w:before="60" w:after="0" w:line="245" w:lineRule="auto"/>
      </w:pPr>
      <w:r>
        <w:rPr>
          <w:rFonts w:ascii="微软雅黑" w:hAnsi="微软雅黑" w:eastAsia="微软雅黑"/>
          <w:b/>
          <w:sz w:val="20"/>
        </w:rPr>
        <w:t>中国平安财产保险股份有限公司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|  再保险业务管理岗（管培生）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 2019.07-2020.07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再保人资信月度更新、季度坏账计提与风险指标监控；汇总关联 / 非关联交易。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rFonts w:ascii="微软雅黑" w:hAnsi="微软雅黑" w:eastAsia="微软雅黑"/>
          <w:b/>
          <w:color w:val="1F3A5F"/>
          <w:sz w:val="22"/>
        </w:rPr>
        <w:t>教  育  背  景</w:t>
      </w:r>
    </w:p>
    <w:p>
      <w:pPr>
        <w:spacing w:before="40" w:after="20" w:line="245" w:lineRule="auto"/>
      </w:pPr>
      <w:r>
        <w:rPr>
          <w:rFonts w:ascii="微软雅黑" w:hAnsi="微软雅黑" w:eastAsia="微软雅黑"/>
          <w:b w:val="0"/>
          <w:sz w:val="20"/>
        </w:rPr>
        <w:t>2017.09-2019.06    华中科技大学    金融    硕士（全日制）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2013.09-2017.06    武汉科技大学    机械工程    本科（全日制）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rFonts w:ascii="微软雅黑" w:hAnsi="微软雅黑" w:eastAsia="微软雅黑"/>
          <w:b/>
          <w:color w:val="1F3A5F"/>
          <w:sz w:val="22"/>
        </w:rPr>
        <w:t>项  目  经  历</w:t>
      </w:r>
    </w:p>
    <w:p>
      <w:pPr>
        <w:spacing w:before="80" w:after="20" w:line="245" w:lineRule="auto"/>
      </w:pPr>
      <w:r>
        <w:rPr>
          <w:rFonts w:ascii="微软雅黑" w:hAnsi="微软雅黑" w:eastAsia="微软雅黑"/>
          <w:b/>
          <w:sz w:val="20"/>
        </w:rPr>
        <w:t>● 交易侧 AI 投研辅助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 2026.06-至今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项目描述：用 AI 工具把盘中看盘和公告采集做成可跑通的小流程，先给内部同事用，再用对照回测验证，不先上重系统。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1、做盘中放量扫描和分时段推送；把「找强势股」写成带 130% 过滤的规则并对照回测。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2、把「盯公告 / 净利润」拆成采集、校验、失败换源。demo：github.com/invy95/myCode（langgraph-announcement-agent）。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项目业绩：对照回测中最大单笔亏损约从 -27% 降至 -17%，并写明下跌市信号变差；不把模型输出当成成交指令。</w:t>
      </w:r>
    </w:p>
    <w:p>
      <w:pPr>
        <w:spacing w:before="80" w:after="20" w:line="245" w:lineRule="auto"/>
      </w:pPr>
      <w:r>
        <w:rPr>
          <w:rFonts w:ascii="微软雅黑" w:hAnsi="微软雅黑" w:eastAsia="微软雅黑"/>
          <w:b/>
          <w:sz w:val="20"/>
        </w:rPr>
        <w:t>● 股票投资研究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 2024.03-至今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项目描述：用 cursor 等 AI 工具搭多维度分析框架，追踪热点板块、整理财报与业绩预告，辅助投资决策。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1、用 tushare 收集财报并计算基本面因子；编写业绩预报 / 快报爬虫。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2、做实时热点概念看板，追踪热点板块。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项目业绩：完成数据收集与有效性观察，日常用 AI 工具拆任务并自己验数。</w:t>
      </w:r>
    </w:p>
    <w:p>
      <w:r>
        <w:br w:type="page"/>
      </w:r>
    </w:p>
    <w:p>
      <w:pPr>
        <w:spacing w:before="80" w:after="20" w:line="245" w:lineRule="auto"/>
      </w:pPr>
      <w:r>
        <w:rPr>
          <w:rFonts w:ascii="微软雅黑" w:hAnsi="微软雅黑" w:eastAsia="微软雅黑"/>
          <w:b/>
          <w:sz w:val="20"/>
        </w:rPr>
        <w:t>● 股票短线多头策略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 2022.07-2023.02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项目描述：掘金平台开发短线多头：分钟级板块因子组合日线量价因子择时选股，并接日更数据做实盘版。共挖掘 6 个因子，其中 3 个组合效果最好。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1、组合择时 / 选股因子，选择入场出场方式，做回测与参数优化。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2、编写实盘策略版本，接入掘金每日更新数据。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项目业绩：回测样本内最大回撤 2%，年化收益 17.14%，夏普比率 3.4。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rFonts w:ascii="微软雅黑" w:hAnsi="微软雅黑" w:eastAsia="微软雅黑"/>
          <w:b/>
          <w:color w:val="1F3A5F"/>
          <w:sz w:val="22"/>
        </w:rPr>
        <w:t>荣  誉  技  能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证书：证券 / 基金 / 银行从业、计算机二级；英语六级 558。论文：《医药行业上市公司价值评估研究--以云南白药为例》。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工具：Python（Pandas / Numpy / Talib）、matlab、wind、掘金、聚宽、Excel；claude、cursor、Coze、MCP。能把投研任务拆成采集、校验、换源，不把模型输出当成下单指令。</w:t>
      </w:r>
    </w:p>
    <w:p>
      <w:pPr>
        <w:spacing w:before="0" w:after="20" w:line="245" w:lineRule="auto"/>
      </w:pPr>
      <w:r>
        <w:rPr>
          <w:rFonts w:ascii="微软雅黑" w:hAnsi="微软雅黑" w:eastAsia="微软雅黑"/>
          <w:b w:val="0"/>
          <w:sz w:val="20"/>
        </w:rPr>
        <w:t>近期：Xpert 金融 Skill 评测、TalentsAI Agentic Coding × 金融已过审（远程交付，非全职经历）。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