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pBdr>
          <w:bottom w:val="single" w:color="000000" w:sz="4" w:space="8"/>
        </w:pBdr>
        <w:spacing w:after="200"/>
        <w:jc w:val="center"/>
      </w:pPr>
      <w:r>
        <w:rPr>
          <w:rFonts w:ascii="Georgia" w:cs="Georgia" w:eastAsia="Georgia" w:hAnsi="Georgia"/>
          <w:b/>
          <w:bCs/>
          <w:color w:val="000000"/>
          <w:sz w:val="44"/>
          <w:szCs w:val="44"/>
        </w:rPr>
        <w:t xml:space="preserve">외환 가격검증 서비스 이용 약정서</w:t>
      </w:r>
    </w:p>
    <w:p>
      <w:pPr>
        <w:spacing w:before="200" w:after="100"/>
        <w:jc w:val="center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FX Pricing Verification Service Agreement</w:t>
      </w: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서비스 제공자: KustodyFi Co., Ltd.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서비스 이용자: ___________________</w:t>
      </w: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jc w:val="center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20    년    월    일</w:t>
      </w:r>
    </w:p>
    <w:p>
      <w:pPr>
        <w:spacing w:before="100" w:after="1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[DRAFT]</w:t>
      </w:r>
    </w:p>
    <w:p>
      <w:pPr>
        <w:sectPr>
          <w:pgSz w:w="11906" w:h="16838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전 문</w:t>
      </w:r>
    </w:p>
    <w:p>
      <w:pPr>
        <w:spacing w:before="80" w:after="80" w:line="340"/>
        <w:ind w:firstLine="4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KustodyFi Co., Ltd. (이하 "회사"라 한다)와 서비스 이용자 (이하 "이용자"라 한다)는 회사가 제공하는 외환 가격검증 및 자금관리 서비스(이하 "본 서비스"라 한다)의 이용에 관하여, 이용자가 외환거래를 체결하는 금융기관(이하 "거래은행"이라 한다)과의 관계를 명확히 하면서 다음과 같이 약정한다.</w:t>
      </w:r>
    </w:p>
    <w:p>
      <w:pPr>
        <w:spacing w:before="100" w:after="100"/>
      </w:pPr>
    </w:p>
    <w:p>
      <w:pPr>
        <w:spacing w:before="80" w:after="80" w:line="340"/>
        <w:ind w:firstLine="4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본 약정에서 회사는 외환거래의 당사자가 아니며, 이용자와 거래은행 간 체결되는 개별 외환거래에 대하여 일체의 거래 당사자 책임을 부담하지 아니한다. 회사는 오로지 (i) TMS(Treasury Management System), (ii) SEAL(Secure Execution &amp; Audit Layer), (iii) AI Agent 등 정보기술 기반의 서비스를 제공하는 지위에 있음을 양 당사자가 확인한다.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제1장 총칙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제1조  (목적)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본 약정은 회사가 이용자에게 제공하는 외환 가격검증 및 자금관리 서비스의 내용, 이용조건, 당사자의 권리의무 및 책임사항 등을 정함을 목적으로 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제2조  (정의)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본 약정에서 사용하는 용어의 뜻은 다음과 같다.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"TMS(Treasury Management System)"란 회사가 제공하는 자금관리시스템의 총칭으로서, StableFX(외환 파생상품 이론가 산출 엔진)를 핵심으로 하여 현금 잔고 관리, 자금 스케줄링, 은행 API 연동, 결제 프로파일 관리 등 기업 재무관리에 필요한 제반 기능을 통합 제공하는 시스템을 말한다.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"StableFX"란 TMS의 핵심 모듈로서, 이용자가 입력한 시장데이터 및 자금조달금리(Funding Rate) 등을 기반으로 스왑포인트, 선물환율 등을 계산하여 제공하는 외환 가격 엔진을 말한다.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"SEAL(Secure Execution &amp; Audit Layer)"이란 회사가 제공하는 실행 통제 계층으로서, 정책 엔진(Policy Engine), 실패-차단(Fail-closed) 메커니즘, 감사 추적(Audit Trail) 기능을 포함하며, 이용자의 외환 실행 워크플로우에 대한 승인, 한도관리 및 통제를 수행하는 시스템을 말한다. 모든 거래 실행은 반드시 SEAL을 경유하여야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"AI Agent"란 회사가 제공하는 인공지능 기반 자동화 에이전트로서, 데이터 수집, 의사결정 지원, 실행 보조, 감사, 장부관리 등 TMS 및 SEAL의 기능을 자동화하거나 보조하는 소프트웨어를 말한다.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⑤ </w:t>
      </w:r>
      <w:r>
        <w:rPr>
          <w:rFonts w:ascii="Calibri" w:cs="Calibri" w:eastAsia="Calibri" w:hAnsi="Calibri"/>
          <w:sz w:val="21"/>
          <w:szCs w:val="21"/>
        </w:rPr>
        <w:t xml:space="preserve">"이론가"란 StableFX 엔진이 금리차, 스왑포인트, 변동성 등 시장 변수를 반영하여 산출한 외환 파생상품의 이론적 공정가격을 말한다.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⑥ </w:t>
      </w:r>
      <w:r>
        <w:rPr>
          <w:rFonts w:ascii="Calibri" w:cs="Calibri" w:eastAsia="Calibri" w:hAnsi="Calibri"/>
          <w:sz w:val="21"/>
          <w:szCs w:val="21"/>
        </w:rPr>
        <w:t xml:space="preserve">"거래은행"이란 이용자가 실제 외환거래를 체결하는 상대방 금융기관으로서, 은행법 또는 자본시장과 금융투자업에 관한 법률에 따라 외환거래 업무를 영위하는 자를 말한다.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⑦ </w:t>
      </w:r>
      <w:r>
        <w:rPr>
          <w:rFonts w:ascii="Calibri" w:cs="Calibri" w:eastAsia="Calibri" w:hAnsi="Calibri"/>
          <w:sz w:val="21"/>
          <w:szCs w:val="21"/>
        </w:rPr>
        <w:t xml:space="preserve">"개별 외환거래"란 이용자와 거래은행 간에 체결되는 현물환, 선물환, 통화스왑 등 제반 외환거래를 말한다.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⑧ </w:t>
      </w:r>
      <w:r>
        <w:rPr>
          <w:rFonts w:ascii="Calibri" w:cs="Calibri" w:eastAsia="Calibri" w:hAnsi="Calibri"/>
          <w:sz w:val="21"/>
          <w:szCs w:val="21"/>
        </w:rPr>
        <w:t xml:space="preserve">"서비스 등급"이란 회사가 정한 Free, Starter, Growth, Pro, Enterprise 등의 이용 등급으로서, 각 등급별 제공 기능 및 이용료가 상이한 것을 말한다.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제3조  (적용범위)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본 약정은 다음 각 호의 서비스에 적용한다.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TMS를 통한 외환 파생상품 이론가 산출, 현금 잔고 관리, 자금 스케줄링, 결제 프로파일 관리 등 자금관리 기능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SEAL을 통한 외환 실행 워크플로우 통제, 승인 관리, 한도 관리 및 감사 추적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AI Agent를 통한 데이터 수집 자동화, 의사결정 보조, 실행 자동화, 장부 관리 등 자동화 기능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기타 회사가 본 서비스의 일환으로 이용자에게 제공하는 부가 서비스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제2장 당사자 간 관계 및 역할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제4조  (회사의 지위 및 역할)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회사는 본 서비스의 제공자로서, 이용자와 거래은행 간 외환거래에 있어 거래 당사자, 중개인(Broker), 투자자문업자 또는 투자매매업자의 지위에 있지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회사는 이용자에게 다음 각 호의 서비스를 제공한다.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이용자가 입력한 자금조달금리 및 시장데이터를 기반으로 한 외환 파생상품 이론가 산출(StableFX)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이용자가 거래은행으로부터 수취한 호가(Quote)와 이론가 간의 비교 분석 정보 제공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이용자 내부 외환 실행 정책의 기술적 구현 및 집행 지원(SEAL)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AI Agent를 통한 외환 업무 자동화 지원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현금 잔고 조회, 자금 스케줄링, 은행 API 연동 등 자금관리 기능(TMS)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회사가 제공하는 이론가 및 분석 정보는 이용자의 의사결정을 보조하기 위한 참고 정보에 해당하며, 특정 거래의 체결을 권유하거나 보증하는 것이 아니다.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제5조  (이용자의 지위 및 의무)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이용자는 본 서비스를 이용하여 자체적으로 외환 리스크를 분석하고, 거래은행과의 개별 외환거래 체결 여부 및 조건을 독립적으로 판단한다.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이용자는 개별 외환거래의 체결, 결제, 계약보증금 예치 등 일체의 거래 관련 의무를 이용자 스스로의 책임 하에 이행한다.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이용자는 본 서비스에 입력하는 자금조달금리, 거래 데이터, 계좌 정보 등의 정확성에 대하여 책임을 진다.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이용자는 외국환거래법, 자본시장법 등 관련 법령을 준수하여야 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제6조  (거래은행과의 관계)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이용자와 거래은행 간의 개별 외환거래는 해당 당사자 간에 별도로 체결한 외환거래약정서 및 개별 외환계약에 의하여 규율되며, 회사는 동 거래에 대하여 어떠한 권리 또는 의무도 부담하지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회사가 제공한 이론가를 기초로 이용자가 거래은행과 체결한 개별 외환거래의 결과에 대하여 회사는 책임을 부담하지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이용자는 거래은행에 대한 본 서비스 관련 정보 제공 여부를 전적으로 이용자의 판단에 따라 결정한다.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제3장 서비스 내용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제7조  (TMS 서비스)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회사는 TMS를 통하여 다음 각 호의 기능을 이용자에게 제공한다.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StableFX 이론가 산출: 현물환율, 양 통화 금리, 기간에 기반한 선물환율 및 스왑포인트, 통화스왑 공정가격 등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현금 잔고 관리(Cash Balance): 오픈뱅킹 API, 스크래핑 또는 수동 입력을 통한 계좌별 잔고 조회 및 금리조건 관리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자금 스케줄링(Cash Schedule): 엑셀 또는 ERP 연동을 통한 자금 유출입 예정 관리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은행 API 연동: 복수 은행에 대한 동시호가요청(Multi-RFQ) 및 최적 실행(Best Execution) 증빙 생성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결제 프로파일(Settlement Profile): SSI(Standard Settlement Instructions) 관리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6. </w:t>
      </w:r>
      <w:r>
        <w:rPr>
          <w:rFonts w:ascii="Calibri" w:cs="Calibri" w:eastAsia="Calibri" w:hAnsi="Calibri"/>
          <w:sz w:val="21"/>
          <w:szCs w:val="21"/>
        </w:rPr>
        <w:t xml:space="preserve">시가평가(Mark-to-Market): 미결제 외환거래의 평가손익 산출, 상계차액(Netting Amount) 기반 순노출금액 산정, 담보소요액(Credit Support Amount) 산출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7. </w:t>
      </w:r>
      <w:r>
        <w:rPr>
          <w:rFonts w:ascii="Calibri" w:cs="Calibri" w:eastAsia="Calibri" w:hAnsi="Calibri"/>
          <w:sz w:val="21"/>
          <w:szCs w:val="21"/>
        </w:rPr>
        <w:t xml:space="preserve">담보 모니터링: 초기증거금(Initial Margin) 적정성 분석, 마진콜 트리거 감시, 초과담보(Return of Excess) 산출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이용자는 StableFX에 본인이 실제로 접근 가능한 자금조달금리를 직접 입력하며, 회사는 이용자가 입력한 금리를 기반으로 이론가를 산출한다.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StableFX가 산출하는 이론가는 이용자가 입력한 변수 및 회사가 수집한 시장데이터에 기반한 것으로서, 거래은행이 실제로 제시하는 호가와 차이가 있을 수 있다.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제8조  (SEAL 서비스)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Growth 등급 이상의 이용자는 SEAL을 통하여 다음 각 호의 기능을 이용할 수 있다.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정책 엔진(Policy Engine): 거래 한도, 승인 워크플로우, 거래상대방 제한 등 이용자 내부 정책의 시스템적 구현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실패-차단(Fail-closed): SEAL 정책에 부합하지 아니하는 거래 지시의 자동 차단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감사 추적(Audit Trail): 모든 거래 지시, 승인, 실행에 대한 변경 불가능한 기록 보관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SEAL의 정책 설정은 이용자의 관리자가 직접 수행하며, 회사는 기술적 구현을 지원한다. SEAL 정책의 내용에 대한 적정성 판단은 이용자의 책임에 속한다.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모든 거래 실행 지시는 SEAL을 경유하여야 하며(Rail-first 원칙), SEAL을 경유하지 아니한 거래 지시의 실행에 대하여 회사는 책임을 부담하지 아니한다.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제9조  (AI Agent 서비스)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회사는 서비스 등급에 따라 다음과 같은 AI Agent를 제공한다.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Pro 등급: 핵심 AI Agent 6종 (SEAL, Audit, Data &amp; State, Decision, Execution, Books 계층의 기본 에이전트)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Enterprise 등급: 전체 AI Agent 25종 (6개 계층 전체 에이전트 + Execution Bot)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AI Agent는 이용자의 의사결정을 보조하거나 반복 업무를 자동화하는 도구로서, AI Agent의 판단 또는 실행 결과에 대한 최종 책임은 이용자에게 있다.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AI Agent의 모든 실행은 SEAL을 경유하며, SEAL 정책에 위반되는 AI Agent의 행위는 자동으로 차단된다.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제10조  (담보 관련 정보 서비스)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회사는 TMS를 통하여 이용자가 거래은행에 예치하는 계약보증금에 관한 다음 각 호의 정보를 산출하여 제공한다.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초기증거금(Initial Margin) 산출: 개별 거래의 계약금액 또는 상계차액(Netting Amount) 기준 10~15% 범위의 초기증거금 소요액 산정 (단, Netting 후에도 최대 개별 계약금액의 10%를 최저한도로 적용)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시가평가(Mark-to-Market): 미결제 외환거래의 순평가손익(Net MtM) 산출 및 담보비율 모니터링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담보소요액(Credit Support Amount) 산출: 초기증거금 및 변동증거금(Variation Margin)을 합산한 담보소요 총액 산정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마진콜 트리거 감시: 담보비율이 약정된 담보한도비율(70%)에 접근하는 경우 이용자에 대한 사전 경고 알림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초과담보(Return of Excess) 산출: 상계(Netting)로 인한 순노출 감소 시 반환 가능 담보금액 산정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회사는 이용자와 거래은행 간 외환거래약정에서 정한 평가기관(Valuation Agent)으로서 은행과 독립적으로 시가평가를 실시한다. 회사의 시가평가 결과와 은행의 시가평가 결과가 상이한 경우, 이용자와 거래은행 간 약정에서 정한 분쟁해결 절차에 따른다.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전항의 서비스는 이용자의 의사결정을 보조하기 위한 참고 정보로서, 거래은행이 요구하는 실제 보증금 수준과 차이가 있을 수 있다. 계약보증금의 예치, 추가 예치, 반환 등에 관한 최종 의사결정 및 실행은 이용자와 거래은행 간의 약정에 따른다.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제4장 서비스 이용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제11조  (서비스 등급 및 이용료)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본 서비스는 다음 각 호의 등급으로 구분되며, 각 등급별 제공 기능 및 월 이용료는 회사가 별도로 정하여 공지한다.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Free: StableFX 기본 이론가 산출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Starter: 확장된 이론가 산출 기능 (AML/KYC 완료 후 이용 가능)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Growth: StableFX 거래실행 기능, SEAL 온보딩, TMS 기본 모듈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Pro: 핵심 AI Agent 6종 포함, TMS 전체 모듈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Enterprise: 전체 AI Agent 25종 + Execution Bot, 맞춤형 구성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이용료의 변경은 변경일 1개월 전까지 이용자에게 통지하며, 이용자가 변경에 동의하지 아니하는 경우 본 약정을 해지할 수 있다.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제12조  (이용자 등록 및 인증)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Starter 등급 이상의 서비스를 이용하고자 하는 자는 회사가 정한 절차에 따라 AML 및 KYC 인증을 완료하여야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이용자는 등록 시 제출한 정보의 변경이 있는 경우 지체 없이 회사에 통지하여야 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제13조  (데이터 입력 및 책임)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이용자가 본 서비스에 입력하는 자금조달금리, 시장데이터, 거래 파라미터 등의 정확성, 적시성 및 적법성에 대한 책임은 이용자에게 있다.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회사는 이용자가 입력한 데이터의 오류로 인하여 산출된 이론가의 부정확성에 대하여 책임을 부담하지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회사는 시장데이터 제공업체로부터 수집한 데이터의 오류, 지연, 중단 등으로 인한 이론가의 부정확성에 대하여는 회사의 고의 또는 중과실이 없는 한 책임을 부담하지 아니한다.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제5장 책임 및 면책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제14조  (회사의 면책)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회사는 다음 각 호의 사유로 인하여 이용자 또는 제3자에게 발생한 손해에 대하여, 회사의 고의 또는 중과실이 없는 한 책임을 부담하지 아니한다.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이론가와 거래은행 호가 간의 차이로 인한 손해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이용자의 거래은행에 대한 결제 불이행, 계약보증금 부족 등으로 인한 손해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시장데이터의 오류, 지연, 중단으로 인한 이론가 산출 오류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이용자의 입력 데이터 오류에 기인한 이론가 부정확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천재지변, 전쟁, 테러, 사이버공격, 통신장애 등 불가항력적 사유에 의한 서비스 중단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6. </w:t>
      </w:r>
      <w:r>
        <w:rPr>
          <w:rFonts w:ascii="Calibri" w:cs="Calibri" w:eastAsia="Calibri" w:hAnsi="Calibri"/>
          <w:sz w:val="21"/>
          <w:szCs w:val="21"/>
        </w:rPr>
        <w:t xml:space="preserve">관련 법령의 제정, 개정, 행정지도 등에 따른 서비스 변경 또는 중단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회사의 배상책임은 이용자가 직전 12개월간 회사에 지급한 이용료 총액을 상한으로 한다. 단, 회사의 고의 또는 중과실에 의한 경우에는 그러하지 아니한다.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제15조  (이용자의 책임)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이용자는 본 서비스를 이용함에 있어 관련 법령, 본 약정 및 회사가 정한 이용 정책을 준수하여야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이용자의 귀책사유로 인하여 회사 또는 제3자에게 손해가 발생한 경우, 이용자는 해당 손해를 배상하여야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이용자가 본 서비스를 통하여 취득한 이론가, 분석 정보 등을 회사의 사전 서면동의 없이 제3자에게 재판매, 재배포 또는 상업적 목적으로 이용할 수 없다.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제6장 비밀유지 및 데이터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제16조  (비밀유지)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양 당사자는 본 약정의 이행 과정에서 취득한 상대방의 영업비밀, 기술정보, 고객정보 등 비밀정보를 본 약정의 목적 외에 사용하거나 제3자에게 제공하여서는 아니 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전항의 비밀유지 의무는 본 약정의 종료 후 3년간 존속한다.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제17조  (데이터 소유권 및 이용)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이용자가 본 서비스에 입력한 데이터의 소유권은 이용자에게 귀속한다.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회사는 서비스 품질 향상 등의 목적으로 이용자의 데이터를 비식별화하여 이용할 수 있다.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제7장 약정의 기간 및 종료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제18조  (약정 기간)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본 약정은 체결일로부터 효력이 발생하며, 별도의 기간을 정하지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양 당사자는 1개월 전 서면통지로 본 약정을 해지할 수 있다.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제19조  (해지)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어느 일방 당사자에게 다음 각 호의 사유가 발생한 경우 상대방은 14일 이상의 시정 기간을 부여한 서면 통지 후 시정되지 아니하는 때에 본 약정을 해지할 수 있다.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본 약정상 의무의 중대한 위반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파산, 회생절차 개시의 신청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이용료의 3개월 이상 연속 미납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전항 제2호의 사유가 발생한 경우에는 시정 기간의 부여 없이 즉시 해지할 수 있다.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제8장 일반 조항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제20조  (약정서의 변경)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회사가 본 약정의 내용을 변경하고자 하는 경우, 변경 내용을 시행일 1개월 전까지 이용자에게 통지하여야 하며, 이용자가 동의하지 아니하는 경우 본 약정을 해지할 수 있다.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제21조  (양도 금지)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양 당사자는 상대방의 사전 서면동의 없이 본 약정상의 권리 또는 의무를 제3자에게 양도할 수 없다.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제22조  (분쟁 해결)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본 약정에 관한 분쟁은 서울중앙지방법원을 관할법원으로 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제23조  (준거법)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본 약정은 대한민국의 법률에 따라 해석되고 적용된다.</w:t>
      </w:r>
    </w:p>
    <w:p>
      <w:pPr>
        <w:spacing w:before="100" w:after="1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서명란</w:t>
      </w:r>
    </w:p>
    <w:p>
      <w:pPr>
        <w:spacing w:before="100" w:after="100"/>
      </w:pP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위 약정을 증명하기 위하여 양 당사자는 본 약정서 2부를 작성하고, 서명 날인 후 각 1부씩 보관한다.</w:t>
      </w:r>
    </w:p>
    <w:p>
      <w:pPr>
        <w:spacing w:before="100" w:after="100"/>
      </w:pPr>
    </w:p>
    <w:p>
      <w:pPr>
        <w:spacing w:before="100" w:after="10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c>
          <w:tcPr>
            <w:tcW w:type="dxa" w:w="469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[서비스 제공자]</w:t>
            </w:r>
          </w:p>
          <w:p>
            <w:pPr>
              <w:spacing w:before="100" w:after="100"/>
            </w:pPr>
          </w:p>
          <w:p>
            <w:pPr>
              <w:spacing w:before="80" w:after="80" w:line="3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상호: KustodyFi Co., Ltd.</w:t>
            </w:r>
          </w:p>
          <w:p>
            <w:pPr>
              <w:spacing w:before="80" w:after="80" w:line="3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대표이사: 강인우</w:t>
            </w:r>
          </w:p>
          <w:p>
            <w:pPr>
              <w:spacing w:before="80" w:after="80" w:line="3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주소: </w:t>
            </w:r>
          </w:p>
          <w:p>
            <w:pPr>
              <w:spacing w:before="100" w:after="100"/>
            </w:pPr>
          </w:p>
          <w:p>
            <w:pPr>
              <w:spacing w:before="100" w:after="100"/>
            </w:pPr>
          </w:p>
          <w:p>
            <w:pPr>
              <w:pBdr>
                <w:bottom w:val="single" w:color="000000" w:sz="1" w:space="4"/>
              </w:pBdr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서명:</w:t>
            </w:r>
          </w:p>
          <w:p>
            <w:pPr>
              <w:spacing w:before="100" w:after="100"/>
            </w:pPr>
          </w:p>
          <w:p>
            <w:pPr>
              <w:pBdr>
                <w:bottom w:val="single" w:color="000000" w:sz="1" w:space="4"/>
              </w:pBdr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일자:</w:t>
            </w:r>
          </w:p>
        </w:tc>
        <w:tc>
          <w:tcPr>
            <w:tcW w:type="dxa" w:w="469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[서비스 이용자]</w:t>
            </w:r>
          </w:p>
          <w:p>
            <w:pPr>
              <w:spacing w:before="100" w:after="100"/>
            </w:pPr>
          </w:p>
          <w:p>
            <w:pPr>
              <w:spacing w:before="80" w:after="80" w:line="3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상호: </w:t>
            </w:r>
          </w:p>
          <w:p>
            <w:pPr>
              <w:spacing w:before="80" w:after="80" w:line="3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대표이사: </w:t>
            </w:r>
          </w:p>
          <w:p>
            <w:pPr>
              <w:spacing w:before="80" w:after="80" w:line="3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주소: </w:t>
            </w:r>
          </w:p>
          <w:p>
            <w:pPr>
              <w:spacing w:before="100" w:after="100"/>
            </w:pPr>
          </w:p>
          <w:p>
            <w:pPr>
              <w:spacing w:before="100" w:after="100"/>
            </w:pPr>
          </w:p>
          <w:p>
            <w:pPr>
              <w:pBdr>
                <w:bottom w:val="single" w:color="000000" w:sz="1" w:space="4"/>
              </w:pBdr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서명:</w:t>
            </w:r>
          </w:p>
          <w:p>
            <w:pPr>
              <w:spacing w:before="100" w:after="100"/>
            </w:pPr>
          </w:p>
          <w:p>
            <w:pPr>
              <w:pBdr>
                <w:bottom w:val="single" w:color="000000" w:sz="1" w:space="4"/>
              </w:pBdr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일자:</w:t>
            </w:r>
          </w:p>
        </w:tc>
      </w:tr>
    </w:tbl>
    <w:p>
      <w:pPr>
        <w:spacing w:before="100" w:after="1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별지: 서비스 등급별 기능 요약</w:t>
      </w:r>
    </w:p>
    <w:p>
      <w:pPr>
        <w:spacing w:before="100" w:after="10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586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Growth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월 이용료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₩10만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₩100만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₩200만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₩600만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StableFX 기본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StableFX 실행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TMS 모듈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기본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전체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전체+맞춤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AI Agent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핵심 6종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전체 25종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Execution Bot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AML/KYC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불요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필요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필요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필요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필요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 | 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/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KustodyFi  |  외환 가격검증 서비스 이용 약정서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2026-03-27T02:43:30.568Z</dcterms:created>
  <dcterms:modified xsi:type="dcterms:W3CDTF">2026-03-27T02:43:30.569Z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