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pBdr>
          <w:bottom w:val="single" w:color="000000" w:sz="4" w:space="8"/>
        </w:pBdr>
        <w:spacing w:after="200"/>
        <w:jc w:val="center"/>
      </w:pPr>
      <w:r>
        <w:rPr>
          <w:rFonts w:ascii="Georgia" w:cs="Georgia" w:eastAsia="Georgia" w:hAnsi="Georgia"/>
          <w:b/>
          <w:bCs/>
          <w:color w:val="000000"/>
          <w:sz w:val="44"/>
          <w:szCs w:val="44"/>
        </w:rPr>
        <w:t xml:space="preserve">외환파생상품거래약정서</w:t>
      </w:r>
    </w:p>
    <w:p>
      <w:pPr>
        <w:spacing w:before="200" w:after="100"/>
        <w:jc w:val="center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FX Derivatives Transaction Agreement</w:t>
      </w:r>
    </w:p>
    <w:p>
      <w:pPr>
        <w:spacing w:before="100" w:after="100"/>
      </w:pPr>
    </w:p>
    <w:p>
      <w:pPr>
        <w:spacing w:after="100"/>
        <w:jc w:val="center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- 가격검증 서비스 연동형 -</w:t>
      </w:r>
    </w:p>
    <w:p>
      <w:pPr>
        <w:spacing w:before="100" w:after="100"/>
      </w:pPr>
    </w:p>
    <w:p>
      <w:pPr>
        <w:spacing w:before="100" w:after="100"/>
      </w:pP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증 권 사: ___________________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거 래 처: ___________________</w:t>
      </w: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20    년    월    일</w:t>
      </w:r>
    </w:p>
    <w:p>
      <w:pPr>
        <w:spacing w:before="100" w:after="1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[DRAFT]</w:t>
      </w:r>
    </w:p>
    <w:p>
      <w:pPr>
        <w:sectPr>
          <w:pgSz w:w="11906" w:h="16838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spacing w:before="80" w:after="80" w:line="340"/>
        <w:ind w:firstLine="4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위 거래처(이하 "거래처"라 한다)와 위 금융투자업자(이하 "증권사"라 한다)은 제1조 각 호에 정한 거래를 함에 있어서 장외파생상품거래 기본약관이 적용됨을 확인하고, 거래처가 이용하는 제3자 가격검증 서비스(이하 정의함)와의 연동을 포함하여 다음 각 조항에 따르기로 한다. 가격검증 서비스 제공자의 지위에 관하여는 제3조에서 정한다.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제1장 총칙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제1조  (적용범위)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이 약정서는 다음 각 호의 현재 및 장래의 모든 거래에 적용하기로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내국통화와 외국통화 간의 매매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외국통화 간의 매매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통화스왑거래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그 밖의 제1호 내지 제3호에 준하는 거래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제2조  (정의)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이 약정서에서 사용하는 용어의 뜻은 다음과 같다.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"가격검증 서비스"란 거래처가 이용하는 제3자 소프트웨어 서비스로서, 외환 파생상품의 이론가 산출, 시가평가, 실행 통제 등의 기능을 거래처에게 제공하는 시스템(본 약정 체결일 현재 KustodyFi Co., Ltd.가 제공하는 TMS 및 SEAL 서비스)을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"가격검증 서비스 제공자"란 거래처에게 가격검증 서비스를 제공하는 법인(본 약정 체결일 현재 KustodyFi Co., Ltd.)을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"이론가"란 가격검증 서비스가 시장데이터 및 거래처의 자금조달금리 등을 기반으로 산출한 외환 파생상품의 이론적 공정가격을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"SEAL"이란 가격검증 서비스에 포함된 실행 통제 계층으로서, 거래처 내부의 거래 승인, 한도 관리 및 감사 추적 기능을 수행하는 시스템을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⑤ </w:t>
      </w:r>
      <w:r>
        <w:rPr>
          <w:rFonts w:ascii="Calibri" w:cs="Calibri" w:eastAsia="Calibri" w:hAnsi="Calibri"/>
          <w:sz w:val="21"/>
          <w:szCs w:val="21"/>
        </w:rPr>
        <w:t xml:space="preserve">"감사 추적 기록(Audit Trail)"이란 SEAL을 통하여 생성되는 거래 지시, 승인, 실행에 관한 변경 불가능한 전자적 기록을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⑥ </w:t>
      </w:r>
      <w:r>
        <w:rPr>
          <w:rFonts w:ascii="Calibri" w:cs="Calibri" w:eastAsia="Calibri" w:hAnsi="Calibri"/>
          <w:sz w:val="21"/>
          <w:szCs w:val="21"/>
        </w:rPr>
        <w:t xml:space="preserve">"적격담보(Eligible Credit Support)"란 본 약정에 따른 계약보증금으로 예치할 수 있는 담보의 유형을 말하며, 현금(KRW 또는 USD)에 한정한다. 적격담보의 평가비율(Valuation Percentage)은 100%로 하며, 별도의 헤어컷(Haircut)을 적용하지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⑦ </w:t>
      </w:r>
      <w:r>
        <w:rPr>
          <w:rFonts w:ascii="Calibri" w:cs="Calibri" w:eastAsia="Calibri" w:hAnsi="Calibri"/>
          <w:sz w:val="21"/>
          <w:szCs w:val="21"/>
        </w:rPr>
        <w:t xml:space="preserve">"초기증거금(Initial Margin)"이란 개별 외환거래 체결 시 거래처가 거래이행 보증을 위하여 증권사에 최초로 예치하여야 하는 계약보증금을 말하며, 그 금액은 별지 4에서 정한 비율에 따라 산정한다.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⑧ </w:t>
      </w:r>
      <w:r>
        <w:rPr>
          <w:rFonts w:ascii="Calibri" w:cs="Calibri" w:eastAsia="Calibri" w:hAnsi="Calibri"/>
          <w:sz w:val="21"/>
          <w:szCs w:val="21"/>
        </w:rPr>
        <w:t xml:space="preserve">"상계차액(Netting Amount)"이란 거래처와 증권사 간에 복수의 미결제 외환거래가 존재하는 경우, 동일 인도일 및 동일 통화쌍에 대한 반대방향 거래의 차액을 산출하여 상계한 후의 순노출금액(Net Exposure)을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⑨ </w:t>
      </w:r>
      <w:r>
        <w:rPr>
          <w:rFonts w:ascii="Calibri" w:cs="Calibri" w:eastAsia="Calibri" w:hAnsi="Calibri"/>
          <w:sz w:val="21"/>
          <w:szCs w:val="21"/>
        </w:rPr>
        <w:t xml:space="preserve">"시가평가(Mark-to-Market)"란 미결제 외환거래의 평가손익을 산정하기 위하여, 해당 거래를 평가시점의 시장환율로 반대거래에 의하여 청산한다고 가정할 경우의 손익을 산출하는 것을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⑩ </w:t>
      </w:r>
      <w:r>
        <w:rPr>
          <w:rFonts w:ascii="Calibri" w:cs="Calibri" w:eastAsia="Calibri" w:hAnsi="Calibri"/>
          <w:sz w:val="21"/>
          <w:szCs w:val="21"/>
        </w:rPr>
        <w:t xml:space="preserve">"평가기관(Valuation Agent)"이란 시가평가를 실시하는 주체를 말하며, 본 약정에서는 증권사 및 가격검증 서비스 제공자(KustodyFi Co., Ltd.)가 각각 독립적으로 평가기관의 역할을 수행한다.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⑪ </w:t>
      </w:r>
      <w:r>
        <w:rPr>
          <w:rFonts w:ascii="Calibri" w:cs="Calibri" w:eastAsia="Calibri" w:hAnsi="Calibri"/>
          <w:sz w:val="21"/>
          <w:szCs w:val="21"/>
        </w:rPr>
        <w:t xml:space="preserve">"담보소요액(Credit Support Amount)"이란 평가일 현재 거래처가 증권사에 예치하여야 할 계약보증금의 총액으로서, 초기증거금과 시가평가에 따른 변동증거금(Variation Margin)을 합산하여 산정한 금액을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⑫ </w:t>
      </w:r>
      <w:r>
        <w:rPr>
          <w:rFonts w:ascii="Calibri" w:cs="Calibri" w:eastAsia="Calibri" w:hAnsi="Calibri"/>
          <w:sz w:val="21"/>
          <w:szCs w:val="21"/>
        </w:rPr>
        <w:t xml:space="preserve">"인도담보금액(Delivery Amount)"이란 담보소요액이 기 예치된 계약보증금을 초과하는 경우, 거래처가 추가로 예치하여야 할 금액을 말한다. 다만, 인도담보금액이 최소이전금액(MTA) 미만인 경우에는 추가 예치 의무가 발생하지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⑬ </w:t>
      </w:r>
      <w:r>
        <w:rPr>
          <w:rFonts w:ascii="Calibri" w:cs="Calibri" w:eastAsia="Calibri" w:hAnsi="Calibri"/>
          <w:sz w:val="21"/>
          <w:szCs w:val="21"/>
        </w:rPr>
        <w:t xml:space="preserve">"반환담보금액(Return Amount)"이란 기 예치된 계약보증금이 담보소요액을 초과하는 경우, 증권사이 거래처에 반환하여야 할 금액을 말한다. 다만, 반환담보금액이 최소이전금액 미만인 경우에는 반환 의무가 발생하지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⑭ </w:t>
      </w:r>
      <w:r>
        <w:rPr>
          <w:rFonts w:ascii="Calibri" w:cs="Calibri" w:eastAsia="Calibri" w:hAnsi="Calibri"/>
          <w:sz w:val="21"/>
          <w:szCs w:val="21"/>
        </w:rPr>
        <w:t xml:space="preserve">"최소이전금액(Minimum Transfer Amount, MTA)"이란 인도담보금액 또는 반환담보금액이 이 금액 이상인 경우에만 추가 예치 또는 반환 의무가 발생하는 기준 금액을 말하며, 별지 4에서 정한다.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⑮ </w:t>
      </w:r>
      <w:r>
        <w:rPr>
          <w:rFonts w:ascii="Calibri" w:cs="Calibri" w:eastAsia="Calibri" w:hAnsi="Calibri"/>
          <w:sz w:val="21"/>
          <w:szCs w:val="21"/>
        </w:rPr>
        <w:t xml:space="preserve">"담보비율"이란 계약보증금의 가액에 대한 미결제 외환거래의 시가평가 손실액의 비율을 말한다.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⑯ </w:t>
      </w:r>
      <w:r>
        <w:rPr>
          <w:rFonts w:ascii="Calibri" w:cs="Calibri" w:eastAsia="Calibri" w:hAnsi="Calibri"/>
          <w:sz w:val="21"/>
          <w:szCs w:val="21"/>
        </w:rPr>
        <w:t xml:space="preserve">"강제청산"이란 제16조에서 정한 사유의 발생에 따라 증권사이 미결제 외환거래의 전부 또는 일부를 일방적으로 반대매매에 의하여 종결시키는 것을 말한다.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제3조  (가격검증 서비스 제공자의 비당사자 확인)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가격검증 서비스 제공자(본 약정 체결일 현재 KustodyFi Co., Ltd.)는 본 약정의 당사자가 아니다. 본 약정에 따른 외환거래의 체결, 이행, 결제, 계약보증금, 강제청산 및 해지 등 일체의 권리의무 관계는 오로지 거래처와 증권사 간에만 성립한다.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가격검증 서비스 제공자는 본 약정에 따른 거래처의 채무에 대하여 보증, 연대보증 또는 이행인수 등의 책임을 부담하지 아니하며, 증권사은 가격검증 서비스 제공자에 대하여 본 약정상의 어떠한 청구도 할 수 없다.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가격검증 서비스가 제공하는 이론가, 시가평가 정보, 실행 통제(SEAL) 등은 거래처 내부의 의사결정 보조 수단에 불과하며, 증권사이 이에 의존하여야 할 의무는 없다.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증권사은 가격검증 서비스 또는 가격검증 서비스 제공자에 대하여 어떠한 보증, 추천 또는 적합성 확인의 의사를 표시하지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⑤ </w:t>
      </w:r>
      <w:r>
        <w:rPr>
          <w:rFonts w:ascii="Calibri" w:cs="Calibri" w:eastAsia="Calibri" w:hAnsi="Calibri"/>
          <w:sz w:val="21"/>
          <w:szCs w:val="21"/>
        </w:rPr>
        <w:t xml:space="preserve">가격검증 서비스 제공자의 변경이 있는 경우, 거래처는 이를 지체 없이 증권사에 통지하여야 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제4조  (관련 규정의 준수)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거래처는 이 약정서에 의한 모든 개별 외환거래에 관하여 자본시장과 금융투자업에 관한 법률(이하 "자본시장법"이라 한다) 및 외국환거래법과 그 밖의 모든 관련 법규를 완전하게 준수한다.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거래처는 개별 외환계약과 관련하여 관련 법령에 의하여 필요한 경우, 실제수요거래 증빙서류 또는 증권사이 요구하는 그 밖의 서류를 증권사에 제출하기로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⑤ </w:t>
      </w:r>
      <w:r>
        <w:rPr>
          <w:rFonts w:ascii="Calibri" w:cs="Calibri" w:eastAsia="Calibri" w:hAnsi="Calibri"/>
          <w:sz w:val="21"/>
          <w:szCs w:val="21"/>
        </w:rPr>
        <w:t xml:space="preserve">본 약정에서 인용하는 주요 근거 법령은 다음과 같다.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외국환거래법 (법률 제19990호) 및 동법 시행령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외국환거래규정 (기획재정부고시)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자본시장과 금융투자업에 관한 법률 (법률 제20771호), 특히 제5조(파생상품), 제46조(적합성 원칙), 제47조(설명의무), 제166조의2(장외파생상품의 매매 등)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금융소비자 보호에 관한 법률 (법률 제20521호)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민법 제398조(손해배상의 예정) 및 제399조(손해배상액의 예정과 위약금)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증권사는 자본시장법 제46조(적합성 원칙) 및 제47조(설명의무)에 따라 거래처에 대하여 외환파생상품거래의 구조, 위험 및 손실 가능성에 관하여 충분히 설명하여야 하며, 거래처는 동 설명을 충분히 이해하였음을 확인한다.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거래처는 자본시장법 제174조에 따른 전문투자자에 해당하는 경우 그 사실을 증권사에 통지하며, 전문투자자에 대하여는 제3항의 적합성 원칙 및 설명의무가 적용되지 아니할 수 있다.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제2장 외환계약의 체결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제5조  (외환계약의 체결 및 성립)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이 약정에 의한 개별 외환계약은 서면 합의서의 유무에 불구하고 거래처가 구두, 전화, 팩시밀리, 텔렉스 또는 그 밖의 전자수단(이메일 또는 메신저를 포함하며 이에 한정하지 아니함)으로 외환거래를 신청하고 증권사이 이를 승낙한 때에 성립한다.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이 약정에 의한 개별 외환계약을 체결하고 결제에 관한 지시를 할 수 있는 권한을 부여받은 거래처의 거래담당자의 성명, 부서, 직책, 서명 및 수권전화번호는 별지 1 기재와 같다.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거래처는 제2항의 각 항목이 변경되는 경우 이를 지체 없이 통지하기로 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제6조  (가격검증 서비스를 통한 거래 신청)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거래처는 가격검증 서비스(TMS)를 통하여 증권사에 호가를 요청하거나, 증권사이 제시한 호가를 이론가와 비교한 후 거래를 신청할 수 있다.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가격검증 서비스를 통한 호가 요청 및 거래 신청은, 증권사이 해당 서비스와의 전자적 연동(API)에 사전 동의한 경우에 한하여 유효한 거래 신청으로 인정된다.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증권사은 가격검증 서비스를 통한 거래 신청이 제5조의 요건을 충족하는지 독립적으로 확인할 권한을 가진다.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가격검증 서비스의 장애, 오류 또는 중단으로 인하여 거래 신청이 지연되거나 불가능하게 된 경우, 거래처는 제5조 제1항에 정한 통상의 방법으로 거래를 신청할 수 있다.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제7조  (SEAL을 통한 거래 통제)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거래처가 SEAL을 통한 거래 실행 통제를 적용하는 경우, 증권사은 SEAL의 승인을 거친 거래 지시를 거래처의 유효한 의사표시로 인정할 수 있다.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SEAL의 승인 여부는 거래처 내부의 통제 사항이며, 증권사은 SEAL의 정상 작동 여부, 정책의 적정성 등에 대하여 확인할 의무를 부담하지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SEAL을 경유하지 아니한 거래 지시라 하더라도, 제5조의 요건을 충족하여 성립한 외환계약은 유효하다.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제8조  (거래내용의 확인)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이 약정에 따라 성립한 모든 외환거래는 거래일 다음 3영업일까지 증권사과 거래처 간에 우편, 팩시밀리 또는 그 밖의 전자수단(가격검증 서비스의 전자적 확인을 포함함)을 이용하여 교환된 확인서에 의하여 확인된다.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확인서는 외환계약에 대한 증거에 불과하며, 증권사이 확인서를 교부하지 않은 경우에도 당해 외환계약의 성립 또는 효력에 영향을 주지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거래처는 이의가 있는 경우 확인서를 받은 때로부터 3영업일 이내에 이의를 제기하여야 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제9조  (시간외 거래)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이 약정에 의한 외환계약은 거래처 및 증권사의 영업시간에 제한받지 아니하고 체결할 수 있으며, 영업시간 외에 체결된 외환계약은 영업시간 중에 체결된 것과 동일한 효력을 가진다.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제3장 가격검증 및 이론가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제10조  (이론가의 참조)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거래처는 가격검증 서비스가 산출한 이론가를 참조하여 증권사이 제시하는 호가의 적정성을 평가할 수 있다.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이론가는 거래처가 입력한 자금조달금리 및 시장데이터에 기반한 참고 정보로서, 증권사이 제시하는 호가를 구속하지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증권사은 이론가의 산출 방법, 정확성 또는 적시성에 대하여 어떠한 보증 또는 책임도 부담하지 아니한다.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제11조  (Multi-RFQ 및 Best Execution)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거래처가 가격검증 서비스를 통하여 복수의 금융투자업자에 동시 호가를 요청(Multi-RFQ)하는 경우, 증권사은 동 호가 요청에 응할 의무를 부담하지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증권사이 Multi-RFQ에 응하여 호가를 제시한 경우, 해당 호가의 유효기간은 증권사이 별도로 명시한 시간에 한정된다.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제4장 계약보증금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제12조  (적격담보 및 초기증거금)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본 약정에 따른 계약보증금으로 예치할 수 있는 적격담보는 현금(KRW 또는 USD)에 한정한다. 적격담보의 평가비율(Valuation Percentage)은 100%로 하며, 별도의 헤어컷(Haircut)을 적용하지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거래처는 개별 외환거래 체결 시, 해당 거래의 계약금액(Notional Amount)의 10% 이상 15% 이하의 범위에서 증권사과 합의한 비율에 따라 산정한 금액을 초기증거금으로 증권사에 예치하여야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거래처와 증권사 간에 복수의 미결제 외환거래가 존재하는 경우, 초기증거금은 개별 거래의 계약금액의 합이 아닌 상계차액(Netting Amount)을 기준으로 산정한다. 즉, 동일 통화쌍에 대한 반대방향 거래를 상계한 후의 순노출금액에 제2항의 비율을 적용한다.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제3항에 불구하고, 상계 후 초기증거금이 미결제 외환거래 중 가장 큰 개별 계약금액(Maximum Single Notional)의 10%에 미달하는 경우에는, 해당 최대 개별 계약금액의 10%를 초기증거금의 최저한도(Floor)로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⑤ </w:t>
      </w:r>
      <w:r>
        <w:rPr>
          <w:rFonts w:ascii="Calibri" w:cs="Calibri" w:eastAsia="Calibri" w:hAnsi="Calibri"/>
          <w:sz w:val="21"/>
          <w:szCs w:val="21"/>
        </w:rPr>
        <w:t xml:space="preserve">초기증거금의 구체적 비율은 개별 외환거래의 유형, 만기, 거래처의 신용등급 등을 감안하여 별지 4에서 정한다.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제13조  (보증금 계정의 관리)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계약보증금은 증권사이 직접 수취하여 관리하며, 거래처가 증권사에 개설한 별도의 보증금 계정(이하 "보증금 계정"이라 한다)에 예치된다.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보증금 계정에 예치된 금원에 대하여는 증권사이 정한 이율에 따라 이자를 지급한다. 다만, 이율이 별도로 정해지지 아니한 경우에는 무이자로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거래처는 증권사의 사전 서면동의 없이 보증금 계정에 예치된 금원을 인출하거나 제3자에게 양도 또는 담보로 제공할 수 없다.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제5장 시가평가 및 담보조정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제14조  (시가평가 및 평가기관)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미결제 외환거래에 대한 시가평가는 매 영업일 증권사이 정한 시점(이하 "평가시점"이라 한다)에 실시한다.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시가평가의 평가기관(Valuation Agent)은 증권사 및 가격검증 서비스 제공자(KustodyFi Co., Ltd.)로 한다. 증권사과 가격검증 서비스 제공자는 각각 독립적으로 시가평가를 실시한다.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시가평가에 적용할 환율은 서울외국환중개에서 고시한 평가시점의 시장환율로 한다. 서울외국환중개에서 고시한 환율이 없는 경우 증권사은 주요 금융기관 2곳 이상으로부터 호가를 받아 평균환율로 결정한다.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거래처와 증권사 간에 복수의 미결제 외환거래가 존재하는 경우, 시가평가는 개별 거래의 평가손익을 상계한 순평가손익(Net Mark-to-Market)을 기준으로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⑤ </w:t>
      </w:r>
      <w:r>
        <w:rPr>
          <w:rFonts w:ascii="Calibri" w:cs="Calibri" w:eastAsia="Calibri" w:hAnsi="Calibri"/>
          <w:sz w:val="21"/>
          <w:szCs w:val="21"/>
        </w:rPr>
        <w:t xml:space="preserve">증권사과 가격검증 서비스 제공자의 시가평가 결과가 상이한 경우, 다음 각 호의 절차에 따라 처리한다.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양 평가기관의 시가평가 결과의 차이가 시가평가액의 5% 이내인 경우, 증권사의 평가 결과를 기준으로 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양 평가기관의 시가평가 결과의 차이가 시가평가액의 5%를 초과하는 경우, 양 당사자는 차이의 원인을 확인하기 위하여 합리적으로 협의한다.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제2호의 협의가 1영업일 내에 이루어지지 아니하는 경우, 국내 외환시장에 참가하는 제3의 금융기관 2곳 이상으로부터 독립적 호가를 수집하여 그 평균값을 기준으로 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제2호 및 제3호의 분쟁해결 절차가 진행되는 동안에도, 추가담보 통지 및 강제청산에 관하여는 증권사의 평가 결과가 잠정적으로 적용된다.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제15조  (추가담보 및 담보반환)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시가평가 결과 담보소요액이 기 예치된 계약보증금을 초과하는 경우, 증권사은 거래처에 대하여 추가담보를 요구한다. 다만, 인도담보금액이 최소이전금액(MTA) 미만인 경우에는 추가 예치 의무가 발생하지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추가담보의 기준이 되는 담보한도비율은 70%로 한다. 시가평가에 따른 평가손실액이 계약보증금의 70%를 초과하는 경우, 추가담보 통지를 발송한다.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거래처는 추가담보 통지를 수령한 날의 익영업일(T+1) 영업시간 종료 시까지 인도담보금액에 해당하는 현금(KRW 또는 USD)을 보증금 계정에 예치하여야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시가평가 결과 기 예치된 계약보증금이 담보소요액을 초과하는 경우, 거래처는 증권사에 초과분의 반환을 요청할 수 있다. 다만, 반환담보금액이 최소이전금액 미만인 경우에는 반환 의무가 발생하지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⑤ </w:t>
      </w:r>
      <w:r>
        <w:rPr>
          <w:rFonts w:ascii="Calibri" w:cs="Calibri" w:eastAsia="Calibri" w:hAnsi="Calibri"/>
          <w:sz w:val="21"/>
          <w:szCs w:val="21"/>
        </w:rPr>
        <w:t xml:space="preserve">미결제 외환거래의 상계(Netting)로 인하여 순노출금액이 감소한 경우, 감소된 순노출금액에 따라 담보소요액을 재산정하며, 기 예치된 계약보증금이 재산정된 담보소요액을 초과하는 때에는 제4항을 준용하여 초과분을 반환한다.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⑥ </w:t>
      </w:r>
      <w:r>
        <w:rPr>
          <w:rFonts w:ascii="Calibri" w:cs="Calibri" w:eastAsia="Calibri" w:hAnsi="Calibri"/>
          <w:sz w:val="21"/>
          <w:szCs w:val="21"/>
        </w:rPr>
        <w:t xml:space="preserve">개별 외환거래의 결제가 완료된 경우, 증권사은 해당 거래에 관한 계약보증금의 담보 설정을 당일 내에 해제하고, 다른 미결제 외환거래에 대한 담보소요액을 재산정한 후 초과분을 거래처에게 반환한다. 다만, 증권사의 내부 결제확인 절차가 당일 내에 완료되지 아니하는 경우에는 익영업일 영업개시 후 지체 없이 처리한다.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⑦ </w:t>
      </w:r>
      <w:r>
        <w:rPr>
          <w:rFonts w:ascii="Calibri" w:cs="Calibri" w:eastAsia="Calibri" w:hAnsi="Calibri"/>
          <w:sz w:val="21"/>
          <w:szCs w:val="21"/>
        </w:rPr>
        <w:t xml:space="preserve">제4항 내지 제5항에 따른 반환(결제 완료에 의한 반환이 아닌 경우)에 있어서, 증권사은 반환 요청을 수령한 날의 익영업일(T+1) 영업시간 종료 시까지 반환담보금액을 거래처에게 지급하여야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⑧ </w:t>
      </w:r>
      <w:r>
        <w:rPr>
          <w:rFonts w:ascii="Calibri" w:cs="Calibri" w:eastAsia="Calibri" w:hAnsi="Calibri"/>
          <w:sz w:val="21"/>
          <w:szCs w:val="21"/>
        </w:rPr>
        <w:t xml:space="preserve">추가담보 통지 및 반환 요청은 서면, 전자우편, 팩시밀리 또는 양 당사자가 사전에 합의한 전자수단(가격검증 서비스의 알림 기능을 포함한다)에 의한다.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⑨ </w:t>
      </w:r>
      <w:r>
        <w:rPr>
          <w:rFonts w:ascii="Calibri" w:cs="Calibri" w:eastAsia="Calibri" w:hAnsi="Calibri"/>
          <w:sz w:val="21"/>
          <w:szCs w:val="21"/>
        </w:rPr>
        <w:t xml:space="preserve">증권사은 시장 상황의 급격한 변동 등 긴급한 사유가 있는 경우, 담보한도비율에 도달하기 전이라도 거래처에 추가담보를 요구할 수 있다.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제6장 강제청산 및 담보귀속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제16조  (강제청산 사유)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다음 각 호의 어느 하나에 해당하는 사유(이하 "강제청산 사유"라 한다)가 발생한 경우, 증권사은 제17조에 따라 미결제 외환거래의 전부 또는 일부를 강제청산할 수 있다.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인도일 불이행: 거래처가 개별 외환거래의 인도일에 약정된 통화금액의 전부 또는 일부를 인도하지 아니한 경우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추가담보 불이행: 거래처가 제15조에 따른 추가담보 통지를 수령하였음에도 제15조 제3항에서 정한 기한 내에 추가 계약보증금을 예치하지 아니한 경우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담보비율 초과: 시가평가 결과 미결제 외환거래의 평가손실액이 계약보증금의 100%를 초과한 경우(이 경우 별도의 추가담보 통지 없이 즉시 강제청산할 수 있다)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신용사건: 거래처에 관하여 장외파생상품거래 기본약관상 기한의 이익 상실 및 해지 사유의 사유 (파산, 회생절차 개시 신청, 채무불이행자 명부 등재 신청, 영업정지, 금융투자업 인가 취소 등)가 발생한 경우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⑤ </w:t>
      </w:r>
      <w:r>
        <w:rPr>
          <w:rFonts w:ascii="Calibri" w:cs="Calibri" w:eastAsia="Calibri" w:hAnsi="Calibri"/>
          <w:sz w:val="21"/>
          <w:szCs w:val="21"/>
        </w:rPr>
        <w:t xml:space="preserve">기타: 거래처의 책임 있는 사유로 신용이 현저히 악화되어 계약 이행이 불가능하거나 현저히 곤란하다고 증권사이 합리적으로 판단하는 경우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제17조  (강제청산의 절차)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증권사은 강제청산 사유가 발생한 경우, 거래처에 대하여 강제청산 통지를 발송하고, 통지에서 정한 시점(이하 "청산시점"이라 한다)에 미결제 외환거래의 전부 또는 일부를 반대매매에 의하여 종결한다.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제16조 제1항 및 제2항의 경우 청산시점은 강제청산 통지의 발송과 동시 또는 통지 후 합리적으로 결정하는 시점으로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제16조 제3항(담보비율 100% 초과)의 경우 증권사은 별도의 통지 없이 즉시 강제청산을 실행할 수 있다. 이 경우 실행 후 지체 없이 거래처에게 그 내용을 통지한다.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강제청산에 적용할 환율은 청산시점의 서울외국환중개 고시환율 또는 증권사이 주요 금융기관 2곳 이상으로부터 수취한 호가의 평균환율로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⑤ </w:t>
      </w:r>
      <w:r>
        <w:rPr>
          <w:rFonts w:ascii="Calibri" w:cs="Calibri" w:eastAsia="Calibri" w:hAnsi="Calibri"/>
          <w:sz w:val="21"/>
          <w:szCs w:val="21"/>
        </w:rPr>
        <w:t xml:space="preserve">증권사은 거래처의 손해를 최소화하기 위하여 합리적으로 노력하여야 하나, 시장 상황 등에 따라 최적의 환율로 청산이 이루어지지 않을 수 있으며, 이에 대하여 고의 또는 중과실이 없는 한 책임을 부담하지 아니한다.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제18조  (강제청산에 따른 정산)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강제청산이 실행된 경우, 증권사은 다음과 같이 정산금을 산정한다.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(가) </w:t>
      </w:r>
      <w:r>
        <w:rPr>
          <w:rFonts w:ascii="Calibri" w:cs="Calibri" w:eastAsia="Calibri" w:hAnsi="Calibri"/>
          <w:sz w:val="21"/>
          <w:szCs w:val="21"/>
        </w:rPr>
        <w:t xml:space="preserve">강제청산에 의한 반대매매 결과 발생하는 손익("청산손익")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(나) </w:t>
      </w:r>
      <w:r>
        <w:rPr>
          <w:rFonts w:ascii="Calibri" w:cs="Calibri" w:eastAsia="Calibri" w:hAnsi="Calibri"/>
          <w:sz w:val="21"/>
          <w:szCs w:val="21"/>
        </w:rPr>
        <w:t xml:space="preserve">미결제 외환거래상 거래처의 증권사에 대한 미지급액(연체이자, 수수료 등 포함)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(다) </w:t>
      </w:r>
      <w:r>
        <w:rPr>
          <w:rFonts w:ascii="Calibri" w:cs="Calibri" w:eastAsia="Calibri" w:hAnsi="Calibri"/>
          <w:sz w:val="21"/>
          <w:szCs w:val="21"/>
        </w:rPr>
        <w:t xml:space="preserve">정산금 = 청산손익(손실인 경우 양수) + 미지급액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정산금이 양수인 경우, 증권사은 다음의 순서에 따라 정산금을 회수한다.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보증금 계정에 예치된 계약보증금에서 정산금을 우선 충당한다.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계약보증금으로 정산금을 충당하고 잔액이 있는 경우, 해당 잔액을 거래처에게 반환한다.</w:t>
      </w:r>
    </w:p>
    <w:p>
      <w:pPr>
        <w:spacing w:before="40" w:after="40" w:line="340"/>
        <w:ind w:left="8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계약보증금으로 정산금을 충당하기에 부족한 경우, 거래처는 부족금을 증권사이 정한 기한 내에 지급하여야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정산금이 음수인 경우, 증권사은 계약보증금과 함께 해당 금액을 거래처에게 지급한다.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제19조  (담보귀속)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제16조 제1항(인도일 불이행) 또는 제2항(추가담보 불이행)의 강제청산 사유가 발생하고 강제청산이 실행된 경우, 제18조에 따른 정산금 충당 후의 계약보증금 잔액은 증권사에 귀속된다. 다만, 증권사은 정산금 충당 및 담보귀속에 관한 계산근거를 명시하여 거래처에게 통지하여야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제1항에 불구하고, 정산금 충당 후의 계약보증금 잔액이 증권사이 거래처의 채무불이행으로 인하여 실제로 입은 합리적 손해액을 초과하는 경우, 증권사은 초과 금액을 거래처에게 반환한다.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거래처가 증권사의 계산방법에 관하여 이의를 제기하는 경우, 증권사은 이를 심사하여 1개월 이내에 그 결과를 통지한다.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본 조에 따른 담보귀속은 손해배상의 예정으로서의 성격을 가지며, 거래처의 채무불이행으로 인하여 증권사이 입은 손해가 귀속된 담보 금액을 초과하는 경우, 증권사은 거래처에게 그 초과 손해의 배상을 별도로 청구할 수 있다.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제20조  (인도일 불이행 시의 특칙)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거래처는 개별 선물환거래의 인도일 15시(이하 "인도마감시한"이라 한다)까지 약정된 통화금액을 증권사에 인도하여야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거래처가 인도마감시한까지 약정된 통화금액의 전부를 인도하지 아니한 경우, 증권사은 별도의 최고 없이 해당 개별 선물환거래를 즉시 강제청산할 수 있으며, 제18조에 따른 정산금 충당 후의 계약보증금 잔액은 증권사에 귀속된다.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제2항에 따른 담보귀속은 거래처의 인도일 불이행에 대한 손해배상의 예정으로서의 성격을 가진다. 다만, 정산금 충당 및 담보귀속 후에도 거래처의 채무가 남아있는 경우, 거래처는 부족금을 지체 없이 지급하여야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④ </w:t>
      </w:r>
      <w:r>
        <w:rPr>
          <w:rFonts w:ascii="Calibri" w:cs="Calibri" w:eastAsia="Calibri" w:hAnsi="Calibri"/>
          <w:sz w:val="21"/>
          <w:szCs w:val="21"/>
        </w:rPr>
        <w:t xml:space="preserve">인도일 불이행에 대하여는 인도마감시한으로부터 실제 청산시점까지 증권사이 정한 연체이율로 계산한 지연배상금이 발생하며, 동 지연배상금은 제18조의 정산금에 포함된다.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⑤ </w:t>
      </w:r>
      <w:r>
        <w:rPr>
          <w:rFonts w:ascii="Calibri" w:cs="Calibri" w:eastAsia="Calibri" w:hAnsi="Calibri"/>
          <w:sz w:val="21"/>
          <w:szCs w:val="21"/>
        </w:rPr>
        <w:t xml:space="preserve">거래처가 인도마감시한 전에 인도 지연이 불가피함을 통지하고, 인도일 당일 내에 이행이 가능함을 소명하는 경우, 양 당사자의 합의에 의하여 인도마감시한을 연장할 수 있다. 다만, 어떠한 경우에도 인도일의 영업시간 종료 시를 초과하여 연장할 수 없다.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제7장 인도일 및 결제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제21조  (인도일 산정)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계약기간을 일단위로 약정하여 개별 선물환계약을 체결한 경우에는 계약일에 이은 두 번째 영업일로부터 기산하여 계약기간이 만료되는 날을 인도일로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인도일이 영업일이 아닌 경우에는 그 다음 영업일을 인도일로 한다. 다만, 월단위 계약의 경우 그 다음 영업일이 다음 달에 속하게 되는 경우에는 그 직전 영업일을 인도일로 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제22조  (결제)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거래처는 인도일에 개별 외환계약에서 정한 바에 따라 약정된 통화금액을 지급하기로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거래처가 결제기일 내에 결제를 하지 않은 경우, 거래처는 증권사에게 거래처가 증권사에 개설한 계정에서 외환계약의 결제를 위하여 차기할 권한을 부여한다.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제23조  (거래처에 의한 인도일의 변경 또는 해지)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거래처는 약정에 의한 개별 외환계약을 해지하거나 또는 그 인도일을 변경하고자 하는 경우에는 증권사과 사전에 합의하여야 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제24조  (차액결제에 관한 특약)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이 약정에 따른 개별 외환계약의 결제에 있어 차액결제(Settlement Netting) 방식의 적용 여부 및 그 구체적 조건은 증권사과 거래처가 별도로 합의하여 정한다.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제8장 계약의 해지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제25조  (증권사에 의한 해지)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제16조의 강제청산 사유 외에, 거래처에 관하여 장외파생상품거래 기본약관상 기한의 이익 상실 및 해지 사유의 사유가 발생한 경우에는 증권사은 거래처에게 14일 이상의 기간을 부여하여 서면으로 시정조치를 요구하였음에도 거래처가 적절한 조치를 취하지 아니한 때에는 모든 개별 외환계약을 해지할 수 있다.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다만, 거래처에게 파산, 회생절차 개시의 신청이 있는 경우에는 증권사은 모든 개별 외환계약을 즉시 해지할 수 있다.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모든 개별 외환계약이 해지된 경우의 해지정산금 산정 및 정산은 제18조를 준용한다.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제9장 감사 추적 및 기록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제26조  (감사 추적 기록의 활용)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거래처는 SEAL을 통하여 생성된 감사 추적 기록을 보관하며, 증권사의 요청이 있는 경우 해당 기록을 제공할 수 있다.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감사 추적 기록은 거래 지시의 진정성 및 승인 과정을 확인하기 위한 보충적 증거로 활용될 수 있으나, 외환계약의 성립 또는 효력을 좌우하지 아니한다.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증권사은 이 약정에 따른 외환거래의 체결, 거래처의 지시 및 확인 등과 관련된 전화대화 내용을 녹음할 수 있다.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제27조  (기록의 보존)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증권사 및 거래처는 관련 법령이 정하는 바에 따라 외환거래에 관한 기록을 보존한다.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거래처는 가격검증 서비스를 통하여 생성된 이론가 산출 기록, SEAL 감사 기록 등을 관련 법령이 정하는 기간 동안 보존한다.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제10장 비용 등의 부담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제28조  (비용 부담)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증권사의 책임 있는 사유 없이 이 약정에 의한 모든 외환거래의 준비 또는 이행 등과 관련하여 발생하는 수수료, 비용, 손해배상금 등에 대하여는 모두 거래처가 부담한다.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거래처는 인도일에 채무를 이행하지 아니한 때에는 인도일로부터 실제 이행일 또는 청산일까지 증권사이 정한 연체이율로 계산한 지연배상금을 지급한다.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③ </w:t>
      </w:r>
      <w:r>
        <w:rPr>
          <w:rFonts w:ascii="Calibri" w:cs="Calibri" w:eastAsia="Calibri" w:hAnsi="Calibri"/>
          <w:sz w:val="21"/>
          <w:szCs w:val="21"/>
        </w:rPr>
        <w:t xml:space="preserve">가격검증 서비스의 이용에 따른 비용은 거래처와 가격검증 서비스 제공자 간의 약정에 따르며, 증권사은 이에 대하여 어떠한 부담도 지지 아니한다.</w:t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제11장 일반 조항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제29조  (양도금지)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거래처는 증권사의 사전 서면동의 없이는 외환거래에 의한 권리를 제3자에게 양도하거나 또는 담보로 제공할 수 없다.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제30조  (적용기간)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이 약정의 적용기간은 정하지 않기로 한다. 다만, 부득이한 사유가 있는 경우 증권사이나 거래처는 이 약정을 해지할 수 있으며, 해지의 효력은 당사자 일방이 다른 당사자의 서면통지를 수령하는 때 발효한다. 해지 전에 이루어진 거래에는 이 약정이 계속 적용된다.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제31조  (약정서의 변경)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① </w:t>
      </w:r>
      <w:r>
        <w:rPr>
          <w:rFonts w:ascii="Calibri" w:cs="Calibri" w:eastAsia="Calibri" w:hAnsi="Calibri"/>
          <w:sz w:val="21"/>
          <w:szCs w:val="21"/>
        </w:rPr>
        <w:t xml:space="preserve">증권사은 약정서를 변경하고자 하는 경우 변경 내용을 시행일 1개월 전에 거래처에게 통지하여야 한다.</w:t>
      </w:r>
    </w:p>
    <w:p>
      <w:pPr>
        <w:spacing w:before="60" w:after="60" w:line="340"/>
        <w:ind w:left="40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② </w:t>
      </w:r>
      <w:r>
        <w:rPr>
          <w:rFonts w:ascii="Calibri" w:cs="Calibri" w:eastAsia="Calibri" w:hAnsi="Calibri"/>
          <w:sz w:val="21"/>
          <w:szCs w:val="21"/>
        </w:rPr>
        <w:t xml:space="preserve">변경 내용이 거래처에게 불리한 것일 때에는 서면 등 사전에 합의한 방법으로 통지하여야 하며, 거래처가 시행일 전 영업일까지 계약해지의 의사표시를 하지 아니한 경우에는 변경에 동의한 것으로 본다.</w:t>
      </w:r>
    </w:p>
    <w:p>
      <w:pPr>
        <w:spacing w:before="300" w:after="12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제32조  (준거법)</w:t>
      </w: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거래처와 증권사은 이 약정에 없는 사항에 대하여 따로 정함이 없는 한 대한민국의 외국환 관련 법규에 따르기로 한다.</w:t>
      </w:r>
    </w:p>
    <w:p>
      <w:pPr>
        <w:spacing w:before="100" w:after="1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서명란</w:t>
      </w:r>
    </w:p>
    <w:p>
      <w:pPr>
        <w:spacing w:before="100" w:after="100"/>
      </w:pP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위 약정을 증명하기 위하여 양 당사자는 본 약정서 2부를 작성하고, 서명 날인 후 각 1부씩 보관한다.</w:t>
      </w:r>
    </w:p>
    <w:p>
      <w:pPr>
        <w:spacing w:before="100" w:after="100"/>
      </w:pP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거래처는 장외파생상품거래 기본약관을 수령하였으며 중요한 내용에 대하여 설명을 들었음을 확인한다.</w:t>
      </w:r>
    </w:p>
    <w:p>
      <w:pPr>
        <w:spacing w:before="100" w:after="100"/>
      </w:pPr>
    </w:p>
    <w:p>
      <w:pPr>
        <w:spacing w:before="100" w:after="1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c>
          <w:tcPr>
            <w:tcW w:type="dxa" w:w="469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[증권사]</w:t>
            </w:r>
          </w:p>
          <w:p>
            <w:pPr>
              <w:spacing w:before="100" w:after="100"/>
            </w:pPr>
          </w:p>
          <w:p>
            <w:pPr>
              <w:spacing w:before="80" w:after="80" w:line="3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상호: </w:t>
            </w:r>
          </w:p>
          <w:p>
            <w:pPr>
              <w:spacing w:before="80" w:after="80" w:line="3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대표이사: </w:t>
            </w:r>
          </w:p>
          <w:p>
            <w:pPr>
              <w:spacing w:before="80" w:after="80" w:line="3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주소: </w:t>
            </w:r>
          </w:p>
          <w:p>
            <w:pPr>
              <w:spacing w:before="100" w:after="100"/>
            </w:pPr>
          </w:p>
          <w:p>
            <w:pPr>
              <w:spacing w:before="100" w:after="100"/>
            </w:pPr>
          </w:p>
          <w:p>
            <w:pPr>
              <w:pBdr>
                <w:bottom w:val="single" w:color="000000" w:sz="1" w:space="4"/>
              </w:pBd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서명:</w:t>
            </w:r>
          </w:p>
          <w:p>
            <w:pPr>
              <w:spacing w:before="100" w:after="100"/>
            </w:pPr>
          </w:p>
          <w:p>
            <w:pPr>
              <w:pBdr>
                <w:bottom w:val="single" w:color="000000" w:sz="1" w:space="4"/>
              </w:pBd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일자:</w:t>
            </w:r>
          </w:p>
        </w:tc>
        <w:tc>
          <w:tcPr>
            <w:tcW w:type="dxa" w:w="469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[거래처]</w:t>
            </w:r>
          </w:p>
          <w:p>
            <w:pPr>
              <w:spacing w:before="100" w:after="100"/>
            </w:pPr>
          </w:p>
          <w:p>
            <w:pPr>
              <w:spacing w:before="80" w:after="80" w:line="3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상호: </w:t>
            </w:r>
          </w:p>
          <w:p>
            <w:pPr>
              <w:spacing w:before="80" w:after="80" w:line="3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대표이사: </w:t>
            </w:r>
          </w:p>
          <w:p>
            <w:pPr>
              <w:spacing w:before="80" w:after="80" w:line="3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주소: </w:t>
            </w:r>
          </w:p>
          <w:p>
            <w:pPr>
              <w:spacing w:before="100" w:after="100"/>
            </w:pPr>
          </w:p>
          <w:p>
            <w:pPr>
              <w:spacing w:before="100" w:after="100"/>
            </w:pPr>
          </w:p>
          <w:p>
            <w:pPr>
              <w:pBdr>
                <w:bottom w:val="single" w:color="000000" w:sz="1" w:space="4"/>
              </w:pBd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서명:</w:t>
            </w:r>
          </w:p>
          <w:p>
            <w:pPr>
              <w:spacing w:before="100" w:after="100"/>
            </w:pPr>
          </w:p>
          <w:p>
            <w:pPr>
              <w:pBdr>
                <w:bottom w:val="single" w:color="000000" w:sz="1" w:space="4"/>
              </w:pBd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일자: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별지 1: 거래담당자 및 수권전화번호</w:t>
      </w:r>
    </w:p>
    <w:p>
      <w:pPr>
        <w:spacing w:before="100" w:after="1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8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성명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부서/직책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서명/인감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수권전화번호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spacing w:before="100" w:after="100"/>
      </w:pP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별지 2: 담보관리 담당자</w:t>
      </w:r>
    </w:p>
    <w:p>
      <w:pPr>
        <w:spacing w:before="100" w:after="100"/>
      </w:pPr>
    </w:p>
    <w:p>
      <w:pPr>
        <w:spacing w:before="80" w:after="8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다음에 기재된 자는 증권사의 추가담보 통지를 수령하고, 계약보증금의 예치 및 반환에 관한 지시를 할 수 있는 권한을 부여받은 거래처의 담보관리 담당자이다.</w:t>
      </w:r>
    </w:p>
    <w:p>
      <w:pPr>
        <w:spacing w:before="100" w:after="1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8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성명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부서/직책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서명/인감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연락처(전화)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이메일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spacing w:before="100" w:after="100"/>
      </w:pP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별지 3: 가격검증 서비스 제공자 정보</w:t>
      </w:r>
    </w:p>
    <w:p>
      <w:pPr>
        <w:spacing w:before="100" w:after="1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8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서비스 제공자 상호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KustodyFi Co., Ltd.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대표이사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사업자등록번호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주소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연락처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제공 서비스 명칭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TMS (StableFX 포함), SEAL, AI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서비스 연동 방식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/ 웹 인터페이스</w:t>
            </w:r>
          </w:p>
        </w:tc>
      </w:tr>
    </w:tbl>
    <w:p>
      <w:pPr>
        <w:spacing w:before="100" w:after="100"/>
      </w:pPr>
    </w:p>
    <w:p>
      <w:pPr>
        <w:spacing w:before="100" w:after="100"/>
      </w:pP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별지 4: 담보 조건 요약 (Credit Support Annex Summary)</w:t>
      </w:r>
    </w:p>
    <w:p>
      <w:pPr>
        <w:spacing w:before="100" w:after="1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8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적격담보 (Eligible Credit Support)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현금 (KRW 또는 USD)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헤어컷 (Haircut)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없음 (Valuation Percentage 100%)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초기증거금 (Initial Margin)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계약금액의 10% ~ 15% (거래 유형/만기/신용등급에 따라 합의)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복수거래 시 산정 기준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개별 Notional이 아닌 상계차액(Netting Amount) 기준 10~15%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Netting Floor (최저한도)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상계 후에도 최대 개별 계약금액(Max Single Notional)의 10% 이상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보증금 계정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증권사 내 별도 보증금 계정 (증권사 직접 수취 및 관리)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평가기관 (Valuation Agent)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증권사 및 KustodyFi Co., Ltd. (각각 독립 평가)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평가 분쟁 기준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차이 5% 이내 → 증권사 기준 / 5% 초과 → 협의 후 제3자 호가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담보한도비율 (Margin Call 트리거)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평가손실 / 계약보증금 = 70%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최소이전금액 (MTA)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USD [____] 또는 KRW [____] (별도 합의)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추가담보 제공 기한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통지 수령일의 익영업일(T+1) 영업시간 종료 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담보반환 (Return of Excess)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Netting 후 순노출 감소 시 초과분 반환 (MTA 이상인 경우)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결제 완료 시 담보해제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결제 완료 확인 후 당일 내 해제 (불가 시 익영업일 영업개시 후 지체 없이)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담보반환 기한 (결제 외)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반환 요청 수령일의 익영업일(T+1) 영업시간 종료 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즉시 강제청산 트리거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평가손실 / 계약보증금 = 100% 초과 (통지 없이 즉시)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인도마감시한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인도일 당일 15:00 (유예 없음)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인도일 불이행 시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15:00까지 미인도 → 즉시 강제청산 + 담보 몰수 (별도 최고 불요)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담보귀속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강제청산 정산 후 잔액 → 증권사 귀속 (실제 손해 초과분은 반환)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연체이율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증권사이 정한 연체이율 (별도 약정)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 | 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/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외환파생상품거래약정서 (가격검증 서비스 연동형)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2026-03-27T03:58:47.524Z</dcterms:created>
  <dcterms:modified xsi:type="dcterms:W3CDTF">2026-03-27T03:58:47.524Z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