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Inter" w:hAnsi="Inter"/>
          <w:b/>
          <w:color w:val="0891B2"/>
          <w:sz w:val="56"/>
        </w:rPr>
        <w:t>KustodyFi</w:t>
      </w:r>
    </w:p>
    <w:p>
      <w:pPr>
        <w:jc w:val="center"/>
      </w:pPr>
      <w:r>
        <w:rPr>
          <w:rFonts w:ascii="맑은 고딕" w:hAnsi="맑은 고딕"/>
          <w:b/>
          <w:sz w:val="44"/>
        </w:rPr>
        <w:t>금융기관(FI) 온보딩</w:t>
        <w:br/>
        <w:t>규제 체크리스트</w:t>
      </w:r>
    </w:p>
    <w:p>
      <w:pPr>
        <w:spacing w:before="400"/>
        <w:jc w:val="center"/>
      </w:pPr>
      <w:r>
        <w:rPr>
          <w:rFonts w:ascii="맑은 고딕" w:hAnsi="맑은 고딕"/>
          <w:color w:val="64748B"/>
          <w:sz w:val="22"/>
        </w:rPr>
        <w:t>DRAFT v1.0  |  2026년 3월</w:t>
      </w:r>
    </w:p>
    <w:p>
      <w:pPr>
        <w:spacing w:before="160"/>
        <w:jc w:val="center"/>
      </w:pPr>
      <w:r>
        <w:rPr>
          <w:rFonts w:ascii="맑은 고딕" w:hAnsi="맑은 고딕"/>
          <w:color w:val="94A3B8"/>
          <w:sz w:val="20"/>
        </w:rPr>
        <w:t>주식회사 커스터디파이  |  대표 강인우</w:t>
        <w:br/>
        <w:t>sales@kustodyfi.com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color w:val="0F172A"/>
        </w:rPr>
        <w:t>1. 문서 개요</w:t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본 문서는 KustodyFi 플랫폼에 금융기관(증권사, 은행 등)을 거래 상대방으로 연결할 때 확인해야 하는 규제 요건을 체크리스트 형태로 정리한 것입니다.</w:t>
      </w:r>
    </w:p>
    <w:p>
      <w:pPr>
        <w:spacing w:after="40"/>
      </w:pPr>
      <w:r>
        <w:rPr>
          <w:rFonts w:ascii="맑은 고딕" w:hAnsi="맑은 고딕"/>
          <w:b/>
          <w:sz w:val="20"/>
        </w:rPr>
        <w:t>적용 대상:</w:t>
      </w:r>
    </w:p>
    <w:p>
      <w:pPr>
        <w:pStyle w:val="ListBullet"/>
      </w:pPr>
      <w:r>
        <w:rPr>
          <w:rFonts w:ascii="맑은 고딕" w:hAnsi="맑은 고딕"/>
          <w:sz w:val="20"/>
        </w:rPr>
        <w:t>KustodyFi가 고객(기업)의 FX 거래를 중개할 파트너 금융기관</w:t>
      </w:r>
    </w:p>
    <w:p>
      <w:pPr>
        <w:pStyle w:val="ListBullet"/>
      </w:pPr>
      <w:r>
        <w:rPr>
          <w:rFonts w:ascii="맑은 고딕" w:hAnsi="맑은 고딕"/>
          <w:sz w:val="20"/>
        </w:rPr>
        <w:t>장외파생상품(FX Forward/Swap) 거래 상대방</w:t>
      </w:r>
    </w:p>
    <w:p>
      <w:pPr>
        <w:pStyle w:val="ListBullet"/>
      </w:pPr>
      <w:r>
        <w:rPr>
          <w:rFonts w:ascii="맑은 고딕" w:hAnsi="맑은 고딕"/>
          <w:sz w:val="20"/>
        </w:rPr>
        <w:t>외화 결제/정산 경로를 제공하는 은행</w:t>
      </w:r>
    </w:p>
    <w:p>
      <w:pPr>
        <w:spacing w:after="120"/>
      </w:pPr>
      <w:r>
        <w:rPr>
          <w:rFonts w:ascii="맑은 고딕" w:hAnsi="맑은 고딕"/>
          <w:b w:val="0"/>
          <w:color w:val="64748B"/>
          <w:sz w:val="18"/>
        </w:rPr>
        <w:t>참고 법령: 외국환거래법, 자본시장과 금융투자업에 관한 법률(자본시장법), 외국환거래규정(기획재정부 고시)</w:t>
      </w:r>
    </w:p>
    <w:p>
      <w:pPr>
        <w:pStyle w:val="Heading1"/>
      </w:pPr>
      <w:r>
        <w:rPr>
          <w:rFonts w:ascii="맑은 고딕" w:hAnsi="맑은 고딕"/>
          <w:color w:val="0F172A"/>
        </w:rPr>
        <w:t>2. 규제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984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1701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법적 근거</w:t>
            </w:r>
          </w:p>
        </w:tc>
        <w:tc>
          <w:tcPr>
            <w:tcW w:type="dxa" w:w="3402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확인 내용</w:t>
            </w:r>
          </w:p>
        </w:tc>
        <w:tc>
          <w:tcPr>
            <w:tcW w:type="dxa" w:w="1701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외국환업무 등록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외국환업무 등록 여부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외국환거래법 제8조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기획재정부장관에게 외국환업무 등록이 완료되었는지 확인.</w:t>
              <w:br/>
              <w:t>등록 번호 및 등록 업무 범위(환전, 대외지급, 외화대출 등)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미등록 시 외국환업무 영위 불가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기관 유형별 업무 범위 적합성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외국환거래법 제9조</w:t>
              <w:br/>
              <w:t>외국환거래법 시행령 제12조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해당 금융투자업자가 수행 가능한 외국환업무의 종류와 범위가 KustodyFi 서비스(Spot FX, FX Forward, FX Swap)를 커버하는지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증권사는 '기타 외국환업무취급기관'으로 제한적 범위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외국환거래규정 세부 업무 확인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외국환거래규정</w:t>
              <w:br/>
              <w:t>제2-1조 ~ 제2-5조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기타 외국환업무취급기관으로서 대고객 외국환 매매, 파생상품 거래가 허용되는 범위인지 세부 규정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기획재정부 고시로 수시 개정 — 최신본 확인 필수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장외파생상품 인가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장외파생상품 매매업 인가 여부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자본시장법 제286조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FX Forward/Swap은 장외파생상품에 해당.</w:t>
              <w:br/>
              <w:t>금융위원회로부터 장외파생상품 매매업 인가를 받았는지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대형 증권사(한투, NH, 삼성, 미래에셋 등) 대부분 보유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파생상품 정의 충족 여부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자본시장법 제5조, 제6조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거래 구조가 자본시장법상 파생상품 정의에 해당하는지 확인.</w:t>
              <w:br/>
              <w:t>외국 통화를 기초자산으로 하는 선도거래(Forward)로 분류되는지.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적격 거래상대방 요건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자본시장법 제166조의2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기업 고객이 장외파생상품 거래의 적격 투자자 요건을 충족하는지.</w:t>
              <w:br/>
              <w:t>일반투자자 보호 의무(설명의무, 적합성 원칙) 이행 체계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중소기업 고객의 경우 특히 유의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KYC/AML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KustodyFi 측 KYC/AML 심사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특정금융정보법</w:t>
              <w:br/>
              <w:t>(특금법) 제5조의2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KustodyFi가 자체적으로 수행하는 고객확인(CDD) 및 자금세탁방지(AML) 심사 절차 확인.</w:t>
              <w:br/>
              <w:t>고객확인서, 실소유자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KustodyFi ↔ 고객 간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금융기관 측 KYC/AML 심사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특정금융정보법</w:t>
              <w:br/>
              <w:t>(특금법) 제5조의2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파트너 금융기관이 자체적으로 수행하는 KYC/CDD/AML 심사.</w:t>
              <w:br/>
              <w:t>양측 심사가 독립적으로 완료되어야 거래 개시 가능.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금융기관 ↔ 고객 간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의심거래 보고(STR) 체계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특정금융정보법 제4조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의심거래 발생 시 금융정보분석원(FIU)에 보고하는 체계가 양측 모두 구축되어 있는지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결제/정산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SSI(Standard Settlement Instruction) 등록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결제지시서 등록 완료 여부. 외화 입출금 경로 확인.</w:t>
              <w:br/>
              <w:t>KFTC, FX펌뱅킹, 창구이체 중 사용 가능한 경로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외화 타행이체 플로우 참조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증거금 관리 체계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외환파생상품거래약정서</w:t>
              <w:br/>
              <w:t>제20조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개시증거금, 유지증거금, 마진콜 체계 확인.</w:t>
              <w:br/>
              <w:t>Hard Cutoff(15:00) 이후 16:00까지 미결제 시 담보 귀속 조건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[2-B] 약정서 참조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반대매매 권한 및 절차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외환파생상품거래약정서</w:t>
              <w:br/>
              <w:t>제20조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강제 반대매매 조건, 통지 절차, 잔여 담보 처리 방법 확인.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규제 샌드박스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규제 샌드박스 신청 필요성 검토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금융혁신지원특별법</w:t>
              <w:br/>
              <w:t>제4조~제7조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위 체크 항목 중 미충족 사항이 있는 경우,</w:t>
              <w:br/>
              <w:t>금융위원회 규제 샌드박스(혁신금융서비스) 지정 신청 검토.</w:t>
              <w:br/>
              <w:t>신청 요건: 혁신성, 이용자 보호방안, 기존 규제 해소 불가 입증.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지정 기간 최대 4년</w:t>
              <w:br/>
              <w:t>(2+2 연장 가능)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혁신금융서비스 지정 시 조건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금융혁신지원특별법</w:t>
              <w:br/>
              <w:t>제7조, 제11조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이용자 보호 조건(배상책임보험, 피해보상 한도).</w:t>
              <w:br/>
              <w:t>영업 범위 제한(지정 업무 외 금지).</w:t>
              <w:br/>
              <w:t>보고 의무(분기별 운영 실적 보고).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b w:val="0"/>
                <w:sz w:val="16"/>
              </w:rPr>
              <w:t>사전에 금융위와 사전 상담 권장</w:t>
            </w:r>
          </w:p>
        </w:tc>
      </w:tr>
    </w:tbl>
    <w:p>
      <w:pPr>
        <w:spacing w:after="120"/>
      </w:pPr>
      <w:r>
        <w:rPr>
          <w:rFonts w:ascii="맑은 고딕" w:hAnsi="맑은 고딕"/>
          <w:b w:val="0"/>
          <w:sz w:val="20"/>
        </w:rPr>
      </w:r>
    </w:p>
    <w:p>
      <w:pPr>
        <w:spacing w:after="120"/>
      </w:pPr>
      <w:r>
        <w:rPr>
          <w:rFonts w:ascii="맑은 고딕" w:hAnsi="맑은 고딕"/>
          <w:b w:val="0"/>
          <w:color w:val="64748B"/>
          <w:sz w:val="18"/>
        </w:rPr>
        <w:t>* 각 항목별 확인 완료 시 담당자 서명 및 날짜를 기입합니다.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color w:val="0F172A"/>
        </w:rPr>
        <w:t>3. 규제 샌드박스 신청 가이드</w:t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위 체크리스트에서 미충족 항목이 발견될 경우, 금융혁신지원특별법에 따른 혁신금융서비스 지정(규제 샌드박스)을 검토합니다.</w:t>
      </w:r>
    </w:p>
    <w:p>
      <w:pPr>
        <w:pStyle w:val="Heading2"/>
      </w:pPr>
      <w:r>
        <w:rPr>
          <w:rFonts w:ascii="맑은 고딕" w:hAnsi="맑은 고딕"/>
          <w:color w:val="0F172A"/>
        </w:rPr>
        <w:t>3.1 신청 요건</w:t>
      </w:r>
    </w:p>
    <w:p>
      <w:r>
        <w:rPr>
          <w:rFonts w:ascii="맑은 고딕" w:hAnsi="맑은 고딕"/>
          <w:b/>
          <w:sz w:val="20"/>
        </w:rPr>
        <w:t xml:space="preserve">• 혁신성: </w:t>
      </w:r>
      <w:r>
        <w:rPr>
          <w:rFonts w:ascii="맑은 고딕" w:hAnsi="맑은 고딕"/>
          <w:sz w:val="20"/>
        </w:rPr>
        <w:t>기존 금융서비스와 차별화된 새로운 방식의 서비스일 것</w:t>
      </w:r>
    </w:p>
    <w:p>
      <w:r>
        <w:rPr>
          <w:rFonts w:ascii="맑은 고딕" w:hAnsi="맑은 고딕"/>
          <w:b/>
          <w:sz w:val="20"/>
        </w:rPr>
        <w:t xml:space="preserve">• 이용자 보호: </w:t>
      </w:r>
      <w:r>
        <w:rPr>
          <w:rFonts w:ascii="맑은 고딕" w:hAnsi="맑은 고딕"/>
          <w:sz w:val="20"/>
        </w:rPr>
        <w:t>이용자 피해를 최소화할 수 있는 보호방안이 마련되어 있을 것</w:t>
      </w:r>
    </w:p>
    <w:p>
      <w:r>
        <w:rPr>
          <w:rFonts w:ascii="맑은 고딕" w:hAnsi="맑은 고딕"/>
          <w:b/>
          <w:sz w:val="20"/>
        </w:rPr>
        <w:t xml:space="preserve">• 규제 해소 불가: </w:t>
      </w:r>
      <w:r>
        <w:rPr>
          <w:rFonts w:ascii="맑은 고딕" w:hAnsi="맑은 고딕"/>
          <w:sz w:val="20"/>
        </w:rPr>
        <w:t>현행 법령 내에서 규제 해소가 불가능함을 입증할 것</w:t>
      </w:r>
    </w:p>
    <w:p>
      <w:r>
        <w:rPr>
          <w:rFonts w:ascii="맑은 고딕" w:hAnsi="맑은 고딕"/>
          <w:b/>
          <w:sz w:val="20"/>
        </w:rPr>
        <w:t xml:space="preserve">• 시장 기여: </w:t>
      </w:r>
      <w:r>
        <w:rPr>
          <w:rFonts w:ascii="맑은 고딕" w:hAnsi="맑은 고딕"/>
          <w:sz w:val="20"/>
        </w:rPr>
        <w:t>금융시장 발전 및 이용자 편의 증진에 기여할 것</w:t>
      </w:r>
    </w:p>
    <w:p>
      <w:pPr>
        <w:pStyle w:val="Heading2"/>
      </w:pPr>
      <w:r>
        <w:rPr>
          <w:rFonts w:ascii="맑은 고딕" w:hAnsi="맑은 고딕"/>
          <w:color w:val="0F172A"/>
        </w:rPr>
        <w:t>3.2 신청 절차</w:t>
      </w:r>
    </w:p>
    <w:p>
      <w:pPr>
        <w:pStyle w:val="ListBullet"/>
      </w:pPr>
      <w:r>
        <w:rPr>
          <w:rFonts w:ascii="맑은 고딕" w:hAnsi="맑은 고딕"/>
          <w:sz w:val="20"/>
        </w:rPr>
        <w:t>1단계: 금융위원회 사전 상담 (필수 권장)</w:t>
      </w:r>
    </w:p>
    <w:p>
      <w:pPr>
        <w:pStyle w:val="ListBullet"/>
      </w:pPr>
      <w:r>
        <w:rPr>
          <w:rFonts w:ascii="맑은 고딕" w:hAnsi="맑은 고딕"/>
          <w:sz w:val="20"/>
        </w:rPr>
        <w:t>2단계: 혁신금융서비스 지정 신청서 제출</w:t>
      </w:r>
    </w:p>
    <w:p>
      <w:pPr>
        <w:pStyle w:val="ListBullet"/>
      </w:pPr>
      <w:r>
        <w:rPr>
          <w:rFonts w:ascii="맑은 고딕" w:hAnsi="맑은 고딕"/>
          <w:sz w:val="20"/>
        </w:rPr>
        <w:t>3단계: 금융위원회 심사 (약 2~3개월)</w:t>
      </w:r>
    </w:p>
    <w:p>
      <w:pPr>
        <w:pStyle w:val="ListBullet"/>
      </w:pPr>
      <w:r>
        <w:rPr>
          <w:rFonts w:ascii="맑은 고딕" w:hAnsi="맑은 고딕"/>
          <w:sz w:val="20"/>
        </w:rPr>
        <w:t>4단계: 지정 결과 통보 및 조건부 영업 개시</w:t>
      </w:r>
    </w:p>
    <w:p>
      <w:pPr>
        <w:pStyle w:val="ListBullet"/>
      </w:pPr>
      <w:r>
        <w:rPr>
          <w:rFonts w:ascii="맑은 고딕" w:hAnsi="맑은 고딕"/>
          <w:sz w:val="20"/>
        </w:rPr>
        <w:t>5단계: 분기별 운영 실적 보고</w:t>
      </w:r>
    </w:p>
    <w:p>
      <w:pPr>
        <w:pStyle w:val="ListBullet"/>
      </w:pPr>
      <w:r>
        <w:rPr>
          <w:rFonts w:ascii="맑은 고딕" w:hAnsi="맑은 고딕"/>
          <w:sz w:val="20"/>
        </w:rPr>
        <w:t>6단계: 지정 기간 만료 전 법령 정비 또는 연장 신청</w:t>
      </w:r>
    </w:p>
    <w:p>
      <w:pPr>
        <w:pStyle w:val="Heading2"/>
      </w:pPr>
      <w:r>
        <w:rPr>
          <w:rFonts w:ascii="맑은 고딕" w:hAnsi="맑은 고딕"/>
          <w:color w:val="0F172A"/>
        </w:rPr>
        <w:t>3.3 KustodyFi 적용 시나리오</w:t>
      </w:r>
    </w:p>
    <w:p>
      <w:pPr>
        <w:spacing w:after="120"/>
      </w:pPr>
      <w:r>
        <w:rPr>
          <w:rFonts w:ascii="맑은 고딕" w:hAnsi="맑은 고딕"/>
          <w:b w:val="0"/>
          <w:sz w:val="20"/>
        </w:rPr>
        <w:t>KustodyFi가 중소기업 고객과 금융투자업자 간 FX Forward 거래를 중개하는 구조에서, 다음의 경우 규제 샌드박스 신청이 필요할 수 있습니다:</w:t>
      </w:r>
    </w:p>
    <w:p>
      <w:pPr>
        <w:pStyle w:val="ListBullet"/>
      </w:pPr>
      <w:r>
        <w:rPr>
          <w:rFonts w:ascii="맑은 고딕" w:hAnsi="맑은 고딕"/>
          <w:sz w:val="20"/>
        </w:rPr>
        <w:t>파트너 금융투자업자가 외국환업무 등록은 되어 있으나, 대고객 FX Forward 중개 모델이 기존 등록 범위에 포함되지 않는 경우</w:t>
      </w:r>
    </w:p>
    <w:p>
      <w:pPr>
        <w:pStyle w:val="ListBullet"/>
      </w:pPr>
      <w:r>
        <w:rPr>
          <w:rFonts w:ascii="맑은 고딕" w:hAnsi="맑은 고딕"/>
          <w:sz w:val="20"/>
        </w:rPr>
        <w:t>KustodyFi 플랫폼이 다수 금융기관의 호가를 집합(Multi-RFQ)하여 최적가를 제시하는 모델이 기존 중개업 범위를 초과하는 경우</w:t>
      </w:r>
    </w:p>
    <w:p>
      <w:pPr>
        <w:pStyle w:val="ListBullet"/>
      </w:pPr>
      <w:r>
        <w:rPr>
          <w:rFonts w:ascii="맑은 고딕" w:hAnsi="맑은 고딕"/>
          <w:sz w:val="20"/>
        </w:rPr>
        <w:t>증거금 기반 Credit Line 구조가 기존 외환거래 관행과 상이하여 감독 당국의 유권해석이 필요한 경우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color w:val="0F172A"/>
        </w:rPr>
        <w:t>4. 관련 문서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4703"/>
            <w:shd w:val="clear" w:color="auto" w:fill="0F172A"/>
          </w:tcPr>
          <w:p>
            <w:r>
              <w:rPr>
                <w:color w:val="FFFFFF"/>
              </w:rPr>
            </w: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[1] KustodyFi 서비스이용약정서 v3 (DRAFT)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플랫폼 이용 기본 약정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[2-A] 외환거래약정서 — 은행용 (DRAFT)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은행과의 Spot/Forward 거래 약정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[2-B] 외환파생상품거래약정서 — 증권사용 (DRAFT)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증권사와의 파생상품 거래 약정, 제20조 담보 귀속 조항 포함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KustodyFi 5-Layer 서비스 플로우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전체 서비스 운영 흐름 (Layer 1~5)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만기결제 Cutoff 타임라인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D-7 ~ D-Day 결제 일정, Soft/Hard Cutoff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정산 플로우: 은행 직접 vs 증권사 경유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정산 경로별 비교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color w:val="0F172A"/>
        </w:rPr>
        <w:t>5. 확인 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35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성명</w:t>
            </w:r>
          </w:p>
        </w:tc>
        <w:tc>
          <w:tcPr>
            <w:tcW w:type="dxa" w:w="235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직책</w:t>
            </w:r>
          </w:p>
        </w:tc>
        <w:tc>
          <w:tcPr>
            <w:tcW w:type="dxa" w:w="2351"/>
            <w:shd w:val="clear" w:color="auto" w:fill="F1F5F9"/>
          </w:tcPr>
          <w:p>
            <w:r/>
            <w:r>
              <w:rPr>
                <w:rFonts w:ascii="맑은 고딕" w:hAnsi="맑은 고딕"/>
                <w:b/>
                <w:sz w:val="18"/>
              </w:rPr>
              <w:t>서명 / 날짜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KustodyFi 담당자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파트너 FI 담당자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법무 검토자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rFonts w:ascii="맑은 고딕" w:hAnsi="맑은 고딕"/>
          <w:b w:val="0"/>
          <w:color w:val="94A3B8"/>
          <w:sz w:val="18"/>
        </w:rPr>
        <w:t>본 문서는 초안(DRAFT)이며, 실제 적용 시 전문 법무법인의 검토를 받으시기 바랍니다.</w:t>
        <w:br/>
        <w:t>외국환거래규정은 기획재정부 고시로 수시 개정되므로 최신본 확인이 필수입니다.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