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mbria" w:cs="Cambria" w:eastAsia="Cambria" w:hAnsi="Cambria"/>
          <w:b/>
          <w:bCs/>
          <w:sz w:val="30"/>
          <w:szCs w:val="30"/>
        </w:rPr>
        <w:t xml:space="preserve">Reader Experiment — English Text</w:t>
      </w:r>
    </w:p>
    <w:p>
      <w:pPr>
        <w:pBdr>
          <w:bottom w:val="single" w:color="1F4E79" w:sz="8" w:space="6"/>
        </w:pBdr>
        <w:spacing w:after="220" w:before="0" w:line="276"/>
        <w:jc w:val="center"/>
      </w:pPr>
      <w:r>
        <w:rPr>
          <w:rFonts w:ascii="Calibri" w:cs="Calibri" w:eastAsia="Calibri" w:hAnsi="Calibri"/>
          <w:color w:val="595959"/>
          <w:sz w:val="19"/>
          <w:szCs w:val="19"/>
        </w:rPr>
        <w:t xml:space="preserve">AICP 2026 · Econpilot · for the final report and the poster</w:t>
      </w:r>
    </w:p>
    <w:p>
      <w:pPr>
        <w:pStyle w:val="Heading1"/>
        <w:pBdr>
          <w:bottom w:val="single" w:color="BFBFBF" w:sz="6" w:space="3"/>
        </w:pBdr>
        <w:spacing w:after="120" w:before="300" w:line="276"/>
      </w:pPr>
      <w:r>
        <w:rPr>
          <w:rFonts w:ascii="Cambria" w:cs="Cambria" w:eastAsia="Cambria" w:hAnsi="Cambria"/>
          <w:b/>
          <w:bCs/>
          <w:color w:val="1F4E79"/>
          <w:sz w:val="26"/>
          <w:szCs w:val="26"/>
        </w:rPr>
        <w:t xml:space="preserve">1. Final Report</w:t>
      </w:r>
    </w:p>
    <w:p>
      <w:pPr>
        <w:pStyle w:val="Heading2"/>
        <w:spacing w:after="90" w:before="220" w:line="276"/>
      </w:pPr>
      <w:r>
        <w:rPr>
          <w:rFonts w:ascii="Cambria" w:cs="Cambria" w:eastAsia="Cambria" w:hAnsi="Cambria"/>
          <w:b/>
          <w:bCs/>
          <w:sz w:val="22"/>
          <w:szCs w:val="22"/>
        </w:rPr>
        <w:t xml:space="preserve">Section 5 — A Reader Experiment: Does the Tone Reach the Reader?</w:t>
      </w:r>
    </w:p>
    <w:p>
      <w:pPr>
        <w:spacing w:after="140" w:before="0" w:line="276"/>
        <w:jc w:val="both"/>
      </w:pPr>
      <w:r>
        <w:rPr>
          <w:rFonts w:ascii="Calibri" w:cs="Calibri" w:eastAsia="Calibri" w:hAnsi="Calibri"/>
          <w:sz w:val="21"/>
          <w:szCs w:val="21"/>
        </w:rPr>
        <w:t xml:space="preserve">The platform we built rests on one premise that has to be tested: that a tone readers cannot recover from the news alone becomes recoverable once it is presented as a number. Thirty-four respondents each saw the same four FOMC meetings — two above their usual tone, two below — in one format only, either the news article published that day or the tone-index chart for that meeting, and for each were asked whether the Fed had been more optimistic than usual and how they would adjust an assumed equity position.</w:t>
      </w:r>
    </w:p>
    <w:p>
      <w:pPr>
        <w:spacing w:after="140" w:before="0" w:line="276"/>
        <w:jc w:val="both"/>
      </w:pPr>
      <w:r>
        <w:rPr>
          <w:rFonts w:ascii="Calibri" w:cs="Calibri" w:eastAsia="Calibri" w:hAnsi="Calibri"/>
          <w:sz w:val="21"/>
          <w:szCs w:val="21"/>
        </w:rPr>
        <w:t xml:space="preserve">The central hypothesis was supported. Accuracy was 41.7% in the article group against 93.8% in the chart group (Welch t = 10.36, p &lt; .001, Cohen's d = 3.55). What matters more is that the article group's errors were not random. Seventeen of eighteen judged the April 2021 meeting optimistic when it had in fact been more cautious than usual, and fifteen judged the January 2025 meeting cautious when it had in fact been more optimistic. The article group appears to have judged from the policy content the article reports rather than from the Fed's tone: “accommodative monetary policy” was read as good news, and “the first hold after three consecutive cuts” as bad. The difference carried through to stated behavior — only the chart group moved its intended allocation in the direction of the tone (+1.20 against −0.15, p = .001).</w:t>
      </w:r>
    </w:p>
    <w:p>
      <w:pPr>
        <w:spacing w:after="140" w:before="0" w:line="276"/>
        <w:jc w:val="both"/>
      </w:pPr>
      <w:r>
        <w:rPr>
          <w:rFonts w:ascii="Calibri" w:cs="Calibri" w:eastAsia="Calibri" w:hAnsi="Calibri"/>
          <w:sz w:val="21"/>
          <w:szCs w:val="21"/>
        </w:rPr>
        <w:t xml:space="preserve">That the chart group scored well is close to a given, since the card states the sign of the index and what it means. The 93.8% is therefore not an achievement but the ceiling reached when the tone arrives intact, and what the experiment shows is the distance between that ceiling and the group reading only the news. What the article group lacked was not information but a baseline against which to read the tone. It remains a pilot, with sixteen readers per group.</w:t>
      </w:r>
    </w:p>
    <w:p>
      <w:pPr>
        <w:pStyle w:val="Heading2"/>
        <w:spacing w:after="90" w:before="220" w:line="276"/>
      </w:pPr>
      <w:r>
        <w:rPr>
          <w:rFonts w:ascii="Cambria" w:cs="Cambria" w:eastAsia="Cambria" w:hAnsi="Cambria"/>
          <w:b/>
          <w:bCs/>
          <w:sz w:val="22"/>
          <w:szCs w:val="22"/>
        </w:rPr>
        <w:t xml:space="preserve">Lines for the other sections</w:t>
      </w:r>
    </w:p>
    <w:p>
      <w:pPr>
        <w:spacing w:after="70" w:before="0" w:line="276"/>
      </w:pPr>
      <w:r>
        <w:rPr>
          <w:rFonts w:ascii="Calibri" w:cs="Calibri" w:eastAsia="Calibri" w:hAnsi="Calibri"/>
          <w:b/>
          <w:bCs/>
          <w:sz w:val="21"/>
          <w:szCs w:val="21"/>
        </w:rPr>
        <w:t xml:space="preserve">End of Section 3 (Research Methods)</w:t>
      </w:r>
    </w:p>
    <w:p>
      <w:pPr>
        <w:spacing w:after="140" w:before="0" w:line="276"/>
        <w:jc w:val="both"/>
      </w:pPr>
      <w:r>
        <w:rPr>
          <w:rFonts w:ascii="Calibri" w:cs="Calibri" w:eastAsia="Calibri" w:hAnsi="Calibri"/>
          <w:sz w:val="21"/>
          <w:szCs w:val="21"/>
        </w:rPr>
        <w:t xml:space="preserve">Validation experiment. A between-subjects reader study (n = 34) tested whether the delivered index is in fact recoverable by non-experts. Results are reported in Section 5.</w:t>
      </w:r>
    </w:p>
    <w:p>
      <w:pPr>
        <w:spacing w:after="70" w:before="120" w:line="276"/>
      </w:pPr>
      <w:r>
        <w:rPr>
          <w:rFonts w:ascii="Calibri" w:cs="Calibri" w:eastAsia="Calibri" w:hAnsi="Calibri"/>
          <w:b/>
          <w:bCs/>
          <w:sz w:val="21"/>
          <w:szCs w:val="21"/>
        </w:rPr>
        <w:t xml:space="preserve">End of the first paragraph of Section 6 (Research Achievements)</w:t>
      </w:r>
    </w:p>
    <w:p>
      <w:pPr>
        <w:spacing w:after="140" w:before="0" w:line="276"/>
        <w:jc w:val="both"/>
      </w:pPr>
      <w:r>
        <w:rPr>
          <w:rFonts w:ascii="Calibri" w:cs="Calibri" w:eastAsia="Calibri" w:hAnsi="Calibri"/>
          <w:sz w:val="21"/>
          <w:szCs w:val="21"/>
        </w:rPr>
        <w:t xml:space="preserve">A pre-registered reader experiment then supplied the empirical grounds for that design choice: without the baseline the index provides, non-experts reading the same meetings in the news reached only 41.7% accuracy, and their errors took a systematically inverted form.</w:t>
      </w:r>
    </w:p>
    <w:p>
      <w:pPr>
        <w:spacing w:after="70" w:before="120" w:line="276"/>
      </w:pPr>
      <w:r>
        <w:rPr>
          <w:rFonts w:ascii="Calibri" w:cs="Calibri" w:eastAsia="Calibri" w:hAnsi="Calibri"/>
          <w:b/>
          <w:bCs/>
          <w:sz w:val="21"/>
          <w:szCs w:val="21"/>
        </w:rPr>
        <w:t xml:space="preserve">Section 7 (Future Plans), as a fourth limitation</w:t>
      </w:r>
    </w:p>
    <w:p>
      <w:pPr>
        <w:spacing w:after="140" w:before="0" w:line="276"/>
        <w:jc w:val="both"/>
      </w:pPr>
      <w:r>
        <w:rPr>
          <w:rFonts w:ascii="Calibri" w:cs="Calibri" w:eastAsia="Calibri" w:hAnsi="Calibri"/>
          <w:sz w:val="21"/>
          <w:szCs w:val="21"/>
        </w:rPr>
        <w:t xml:space="preserve">Fourth, the reader experiment is a pilot at sixteen per group, and the chart group's accuracy is bounded above by the card's own labelling. A larger study adding a condition with the sign label withheld would separate the contribution of the visual presentation from that of stating the index at all.</w:t>
      </w:r>
    </w:p>
    <w:p>
      <w:pPr>
        <w:pStyle w:val="Heading1"/>
        <w:pBdr>
          <w:bottom w:val="single" w:color="BFBFBF" w:sz="6" w:space="3"/>
        </w:pBdr>
        <w:spacing w:after="120" w:before="300" w:line="276"/>
      </w:pPr>
      <w:r>
        <w:rPr>
          <w:rFonts w:ascii="Cambria" w:cs="Cambria" w:eastAsia="Cambria" w:hAnsi="Cambria"/>
          <w:b/>
          <w:bCs/>
          <w:color w:val="1F4E79"/>
          <w:sz w:val="26"/>
          <w:szCs w:val="26"/>
        </w:rPr>
        <w:t xml:space="preserve">2. Research Poster</w:t>
      </w:r>
    </w:p>
    <w:p>
      <w:pPr>
        <w:pStyle w:val="Heading2"/>
        <w:spacing w:after="90" w:before="220" w:line="276"/>
      </w:pPr>
      <w:r>
        <w:rPr>
          <w:rFonts w:ascii="Cambria" w:cs="Cambria" w:eastAsia="Cambria" w:hAnsi="Cambria"/>
          <w:b/>
          <w:bCs/>
          <w:sz w:val="22"/>
          <w:szCs w:val="22"/>
        </w:rPr>
        <w:t xml:space="preserve">Results — fourth panel: Does the Tone Reach the Reader?</w:t>
      </w:r>
    </w:p>
    <w:p>
      <w:pPr>
        <w:spacing w:after="140" w:before="0" w:line="276"/>
        <w:jc w:val="both"/>
      </w:pPr>
      <w:r>
        <w:rPr>
          <w:rFonts w:ascii="Calibri" w:cs="Calibri" w:eastAsia="Calibri" w:hAnsi="Calibri"/>
          <w:sz w:val="21"/>
          <w:szCs w:val="21"/>
        </w:rPr>
        <w:t xml:space="preserve">Our reader experiment found that the news does not merely fail to carry the Fed's tone — it carries it in the opposite direction. Thirty-four respondents saw the same four FOMC meetings in one format only, either the news article published that day or the tone-index chart for that meeting. Accuracy in judging tone was 41.7% for the article group against 93.8% for the chart group (d = 3.55). The article group's errors were not random: 17 of 18 called the April 2021 meeting optimistic when it had in fact been more cautious than usual, and 15 called the January 2025 meeting cautious when it had in fact been more optimistic. Only the chart group moved its intended equity allocation in the direction of the tone.</w:t>
      </w:r>
    </w:p>
    <w:p>
      <w:pPr>
        <w:spacing w:after="70" w:before="120" w:line="276"/>
      </w:pPr>
      <w:r>
        <w:rPr>
          <w:rFonts w:ascii="Calibri" w:cs="Calibri" w:eastAsia="Calibri" w:hAnsi="Calibri"/>
          <w:b/>
          <w:bCs/>
          <w:sz w:val="21"/>
          <w:szCs w:val="21"/>
        </w:rPr>
        <w:t xml:space="preserve">Caveat — small type at the foot of the panel</w:t>
      </w:r>
    </w:p>
    <w:p>
      <w:pPr>
        <w:spacing w:after="100" w:before="0" w:line="260"/>
      </w:pPr>
      <w:r>
        <w:rPr>
          <w:rFonts w:ascii="Calibri" w:cs="Calibri" w:eastAsia="Calibri" w:hAnsi="Calibri"/>
          <w:color w:val="595959"/>
          <w:sz w:val="18"/>
          <w:szCs w:val="18"/>
        </w:rPr>
        <w:t xml:space="preserve">The chart states the sign of the index on its face, so 93.8% is the ceiling reached when the tone arrives intact, not an achievement.</w:t>
      </w:r>
    </w:p>
    <w:p>
      <w:pPr>
        <w:spacing w:after="70" w:before="120" w:line="276"/>
      </w:pPr>
      <w:r>
        <w:rPr>
          <w:rFonts w:ascii="Calibri" w:cs="Calibri" w:eastAsia="Calibri" w:hAnsi="Calibri"/>
          <w:b/>
          <w:bCs/>
          <w:sz w:val="21"/>
          <w:szCs w:val="21"/>
        </w:rPr>
        <w:t xml:space="preserve">Figure caption</w:t>
      </w:r>
    </w:p>
    <w:p>
      <w:pPr>
        <w:spacing w:after="140" w:before="0" w:line="276"/>
        <w:jc w:val="both"/>
      </w:pPr>
      <w:r>
        <w:rPr>
          <w:rFonts w:ascii="Calibri" w:cs="Calibri" w:eastAsia="Calibri" w:hAnsi="Calibri"/>
          <w:sz w:val="21"/>
          <w:szCs w:val="21"/>
        </w:rPr>
        <w:t xml:space="preserve">Figure 9. (A) Accuracy by trial — the article group answered against the correct tone for the April 2021 and January 2025 meetings. (B) Intensity ratings against the true index — the article group's slope runs the opposite way.</w:t>
      </w:r>
    </w:p>
    <w:p>
      <w:pPr>
        <w:spacing w:after="70" w:before="120" w:line="276"/>
      </w:pPr>
      <w:r>
        <w:rPr>
          <w:rFonts w:ascii="Calibri" w:cs="Calibri" w:eastAsia="Calibri" w:hAnsi="Calibri"/>
          <w:b/>
          <w:bCs/>
          <w:sz w:val="21"/>
          <w:szCs w:val="21"/>
        </w:rPr>
        <w:t xml:space="preserve">Line to add to the Conclusion block</w:t>
      </w:r>
    </w:p>
    <w:p>
      <w:pPr>
        <w:spacing w:after="140" w:before="0" w:line="276"/>
        <w:jc w:val="both"/>
      </w:pPr>
      <w:r>
        <w:rPr>
          <w:rFonts w:ascii="Calibri" w:cs="Calibri" w:eastAsia="Calibri" w:hAnsi="Calibri"/>
          <w:sz w:val="21"/>
          <w:szCs w:val="21"/>
        </w:rPr>
        <w:t xml:space="preserve">Tone does not reach readers through the news; it reaches them reversed. Correcting that calls not for more information but for a baseline.</w:t>
      </w:r>
    </w:p>
    <w:p>
      <w:pPr>
        <w:pStyle w:val="Heading1"/>
        <w:pBdr>
          <w:bottom w:val="single" w:color="BFBFBF" w:sz="6" w:space="3"/>
        </w:pBdr>
        <w:spacing w:after="120" w:before="300" w:line="276"/>
      </w:pPr>
      <w:r>
        <w:rPr>
          <w:rFonts w:ascii="Cambria" w:cs="Cambria" w:eastAsia="Cambria" w:hAnsi="Cambria"/>
          <w:b/>
          <w:bCs/>
          <w:color w:val="1F4E79"/>
          <w:sz w:val="26"/>
          <w:szCs w:val="26"/>
        </w:rPr>
        <w:t xml:space="preserve">Translation notes</w:t>
      </w:r>
    </w:p>
    <w:p>
      <w:pPr>
        <w:spacing w:after="70" w:before="0" w:line="276"/>
        <w:ind w:left="200" w:hanging="2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chart</w:t>
      </w:r>
      <w:r>
        <w:rPr>
          <w:rFonts w:ascii="Calibri" w:cs="Calibri" w:eastAsia="Calibri" w:hAnsi="Calibri"/>
          <w:sz w:val="21"/>
          <w:szCs w:val="21"/>
        </w:rPr>
        <w:t xml:space="preserve"> renders 도표, the word shown to respondents, and is kept distinct from </w:t>
      </w:r>
      <w:r>
        <w:rPr>
          <w:rFonts w:ascii="Calibri" w:cs="Calibri" w:eastAsia="Calibri" w:hAnsi="Calibri"/>
          <w:i/>
          <w:iCs/>
          <w:sz w:val="21"/>
          <w:szCs w:val="21"/>
        </w:rPr>
        <w:t xml:space="preserve">dashboard</w:t>
      </w:r>
      <w:r>
        <w:rPr>
          <w:rFonts w:ascii="Calibri" w:cs="Calibri" w:eastAsia="Calibri" w:hAnsi="Calibri"/>
          <w:sz w:val="21"/>
          <w:szCs w:val="21"/>
        </w:rPr>
        <w:t xml:space="preserve">, which the poster uses for the platform itself.</w:t>
      </w:r>
    </w:p>
    <w:p>
      <w:pPr>
        <w:spacing w:after="70" w:before="0" w:line="276"/>
        <w:ind w:left="200" w:hanging="200"/>
        <w:jc w:val="both"/>
      </w:pPr>
      <w:r>
        <w:rPr>
          <w:rFonts w:ascii="Calibri" w:cs="Calibri" w:eastAsia="Calibri" w:hAnsi="Calibri"/>
          <w:b/>
          <w:bCs/>
          <w:sz w:val="21"/>
          <w:szCs w:val="21"/>
        </w:rPr>
        <w:t xml:space="preserve">· </w:t>
      </w:r>
      <w:r>
        <w:rPr>
          <w:rFonts w:ascii="Calibri" w:cs="Calibri" w:eastAsia="Calibri" w:hAnsi="Calibri"/>
          <w:b/>
          <w:bCs/>
          <w:sz w:val="21"/>
          <w:szCs w:val="21"/>
        </w:rPr>
        <w:t xml:space="preserve">ceiling</w:t>
      </w:r>
      <w:r>
        <w:rPr>
          <w:rFonts w:ascii="Calibri" w:cs="Calibri" w:eastAsia="Calibri" w:hAnsi="Calibri"/>
          <w:sz w:val="21"/>
          <w:szCs w:val="21"/>
        </w:rPr>
        <w:t xml:space="preserve"> renders 상한; </w:t>
      </w:r>
      <w:r>
        <w:rPr>
          <w:rFonts w:ascii="Calibri" w:cs="Calibri" w:eastAsia="Calibri" w:hAnsi="Calibri"/>
          <w:b/>
          <w:bCs/>
          <w:sz w:val="21"/>
          <w:szCs w:val="21"/>
        </w:rPr>
        <w:t xml:space="preserve">baseline</w:t>
      </w:r>
      <w:r>
        <w:rPr>
          <w:rFonts w:ascii="Calibri" w:cs="Calibri" w:eastAsia="Calibri" w:hAnsi="Calibri"/>
          <w:sz w:val="21"/>
          <w:szCs w:val="21"/>
        </w:rPr>
        <w:t xml:space="preserve"> renders 비교 기준, matching the sense the report already gives “baseline” elsewhere.</w:t>
      </w:r>
    </w:p>
    <w:p>
      <w:pPr>
        <w:spacing w:after="70" w:before="0" w:line="276"/>
        <w:ind w:left="200" w:hanging="200"/>
        <w:jc w:val="both"/>
      </w:pPr>
      <w:r>
        <w:rPr>
          <w:rFonts w:ascii="Calibri" w:cs="Calibri" w:eastAsia="Calibri" w:hAnsi="Calibri"/>
          <w:b/>
          <w:bCs/>
          <w:sz w:val="21"/>
          <w:szCs w:val="21"/>
        </w:rPr>
        <w:t xml:space="preserve">· </w:t>
      </w:r>
      <w:r>
        <w:rPr>
          <w:rFonts w:ascii="Calibri" w:cs="Calibri" w:eastAsia="Calibri" w:hAnsi="Calibri"/>
          <w:sz w:val="21"/>
          <w:szCs w:val="21"/>
        </w:rPr>
        <w:t xml:space="preserve">The Korean report draft no longer carries the sentence stating that the design and analysis were pre-registered. Section 6 above still refers to pre-registration, so consider restoring it in Section 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F4E79"/>
      <w:sz w:val="26"/>
      <w:szCs w:val="26"/>
    </w:rPr>
  </w:style>
  <w:style w:type="paragraph" w:styleId="Heading2">
    <w:name w:val="Heading 2"/>
    <w:basedOn w:val="Normal"/>
    <w:next w:val="Normal"/>
    <w:qFormat/>
    <w:rPr>
      <w:rFonts w:ascii="Cambria" w:cs="Cambria" w:eastAsia="Cambria" w:hAnsi="Cambr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2026-09-25T02:03:52.146Z</dcterms:created>
  <dcterms:modified xsi:type="dcterms:W3CDTF">2026-09-25T02:03:52.156Z</dcterms:modified>
</cp:coreProperties>
</file>

<file path=docProps/custom.xml><?xml version="1.0" encoding="utf-8"?>
<Properties xmlns="http://schemas.openxmlformats.org/officeDocument/2006/custom-properties" xmlns:vt="http://schemas.openxmlformats.org/officeDocument/2006/docPropsVTypes"/>
</file>