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 w:line="272"/>
        <w:jc w:val="center"/>
      </w:pP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FOMC 커뮤니케이션 제시 형식에 따른</w:t>
      </w:r>
      <w:r>
        <w:rPr>
          <w:rFonts w:ascii="맑은 고딕" w:cs="맑은 고딕" w:eastAsia="맑은 고딕" w:hAnsi="맑은 고딕"/>
          <w:sz w:val="18"/>
          <w:szCs w:val="18"/>
        </w:rPr>
        <w:br/>
        <w:t xml:space="preserve"/>
      </w:r>
      <w:r>
        <w:rPr>
          <w:rFonts w:ascii="맑은 고딕" w:cs="맑은 고딕" w:eastAsia="맑은 고딕" w:hAnsi="맑은 고딕"/>
          <w:b/>
          <w:bCs/>
          <w:sz w:val="25"/>
          <w:szCs w:val="25"/>
        </w:rPr>
        <w:t xml:space="preserve">통화정책 기조 판단 정확도 비교</w:t>
      </w:r>
    </w:p>
    <w:p>
      <w:pPr>
        <w:spacing w:after="50" w:before="0" w:line="252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실험 설계 요약</w:t>
      </w:r>
    </w:p>
    <w:p>
      <w:pPr>
        <w:pBdr>
          <w:bottom w:val="single" w:color="1F4E79" w:sz="8" w:space="5"/>
        </w:pBdr>
        <w:spacing w:after="130" w:before="0" w:line="252"/>
        <w:jc w:val="center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작성자 [이름] · 소속 [학과/연구실] · 작성일 2026년 9월 20일</w:t>
      </w:r>
    </w:p>
    <w:p>
      <w:pPr>
        <w:pBdr>
          <w:bottom w:val="single" w:color="BFBFBF" w:sz="6" w:space="2"/>
        </w:pBdr>
        <w:spacing w:after="60" w:before="120" w:line="252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1. 연구 질문</w:t>
      </w:r>
    </w:p>
    <w:p>
      <w:pPr>
        <w:spacing w:after="60" w:before="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중앙은행 커뮤니케이션에서 정책 기조에 관한 정보는 결정 사실보다 그것을 전달하는 어조에 더 많이 담긴다. 동일하게 '금리 동결'로 보도된 회의라도 향후 방향에 대한 함의는 크게 다를 수 있다.</w:t>
      </w:r>
    </w:p>
    <w:p>
      <w:pPr>
        <w:spacing w:after="60" w:before="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본 연구는 동일한 FOMC 회의 정보를 (가) 언론 기사와 (나) 어조 지수 대시보드 중 어느 형식으로 접하는지에 따라, 비전문가의 정책 기조 방향(낙관/비관) 판단 정확도가 달라지는지를 검증한다.</w:t>
      </w:r>
    </w:p>
    <w:p>
      <w:pPr>
        <w:pBdr>
          <w:bottom w:val="single" w:color="BFBFBF" w:sz="6" w:space="2"/>
        </w:pBdr>
        <w:spacing w:after="60" w:before="120" w:line="252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2. 실험 설계</w:t>
      </w:r>
    </w:p>
    <w:p>
      <w:pPr>
        <w:spacing w:after="30" w:before="0" w:line="252"/>
        <w:ind w:left="170" w:hanging="170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설계  </w:t>
      </w:r>
      <w:r>
        <w:rPr>
          <w:rFonts w:ascii="맑은 고딕" w:cs="맑은 고딕" w:eastAsia="맑은 고딕" w:hAnsi="맑은 고딕"/>
          <w:sz w:val="18"/>
          <w:szCs w:val="18"/>
        </w:rPr>
        <w:t xml:space="preserve">피험자간 2조건 — 언론군(기사 제시) / 대시보드군(어조 지수 제시)</w:t>
      </w:r>
    </w:p>
    <w:p>
      <w:pPr>
        <w:spacing w:after="30" w:before="0" w:line="252"/>
        <w:ind w:left="170" w:hanging="170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표본  </w:t>
      </w:r>
      <w:r>
        <w:rPr>
          <w:rFonts w:ascii="맑은 고딕" w:cs="맑은 고딕" w:eastAsia="맑은 고딕" w:hAnsi="맑은 고딕"/>
          <w:sz w:val="18"/>
          <w:szCs w:val="18"/>
        </w:rPr>
        <w:t xml:space="preserve">총 32명, 군당 16명. 모집 방법 및 보상 [기재 필요]</w:t>
      </w:r>
    </w:p>
    <w:p>
      <w:pPr>
        <w:spacing w:after="30" w:before="0" w:line="252"/>
        <w:ind w:left="170" w:hanging="170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독립변인  </w:t>
      </w:r>
      <w:r>
        <w:rPr>
          <w:rFonts w:ascii="맑은 고딕" w:cs="맑은 고딕" w:eastAsia="맑은 고딕" w:hAnsi="맑은 고딕"/>
          <w:sz w:val="18"/>
          <w:szCs w:val="18"/>
        </w:rPr>
        <w:t xml:space="preserve">정보 제시 형식 (2수준, 피험자간)</w:t>
      </w:r>
    </w:p>
    <w:p>
      <w:pPr>
        <w:spacing w:after="30" w:before="0" w:line="252"/>
        <w:ind w:left="170" w:hanging="170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통제  </w:t>
      </w:r>
      <w:r>
        <w:rPr>
          <w:rFonts w:ascii="맑은 고딕" w:cs="맑은 고딕" w:eastAsia="맑은 고딕" w:hAnsi="맑은 고딕"/>
          <w:sz w:val="18"/>
          <w:szCs w:val="18"/>
        </w:rPr>
        <w:t xml:space="preserve">네 자극물 모두 결정 내용이 '동결'로 동일 — 표면적 사실을 고정하고 어조만 변이시킴</w:t>
      </w:r>
    </w:p>
    <w:p>
      <w:pPr>
        <w:spacing w:after="30" w:before="0" w:line="252"/>
        <w:ind w:left="170" w:hanging="170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제시 순서  </w:t>
      </w:r>
      <w:r>
        <w:rPr>
          <w:rFonts w:ascii="맑은 고딕" w:cs="맑은 고딕" w:eastAsia="맑은 고딕" w:hAnsi="맑은 고딕"/>
          <w:sz w:val="18"/>
          <w:szCs w:val="18"/>
        </w:rPr>
        <w:t xml:space="preserve">A → C → B → D, 양 군 동일하게 고정 (순서 효과 통제)</w:t>
      </w:r>
    </w:p>
    <w:p>
      <w:pPr>
        <w:pBdr>
          <w:bottom w:val="single" w:color="BFBFBF" w:sz="6" w:space="2"/>
        </w:pBdr>
        <w:spacing w:after="60" w:before="120" w:line="252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3. 자극물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60"/>
        <w:gridCol w:w="1180"/>
        <w:gridCol w:w="4066"/>
        <w:gridCol w:w="1840"/>
        <w:gridCol w:w="1900"/>
      </w:tblGrid>
      <w:tr>
        <w:trPr>
          <w:tblHeader/>
        </w:trPr>
        <w:tc>
          <w:tcPr>
            <w:tcW w:type="dxa" w:w="760"/>
            <w:shd w:fill="ED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자극물</w:t>
            </w:r>
          </w:p>
        </w:tc>
        <w:tc>
          <w:tcPr>
            <w:tcW w:type="dxa" w:w="1180"/>
            <w:shd w:fill="ED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회의 시점</w:t>
            </w:r>
          </w:p>
        </w:tc>
        <w:tc>
          <w:tcPr>
            <w:tcW w:type="dxa" w:w="4066"/>
            <w:shd w:fill="ED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기사 헤드라인 요지 (금리 결정)</w:t>
            </w:r>
          </w:p>
        </w:tc>
        <w:tc>
          <w:tcPr>
            <w:tcW w:type="dxa" w:w="1840"/>
            <w:shd w:fill="ED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어조 지수 (성명문/기자회견)</w:t>
            </w:r>
          </w:p>
        </w:tc>
        <w:tc>
          <w:tcPr>
            <w:tcW w:type="dxa" w:w="1900"/>
            <w:shd w:fill="EDF2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기조 정답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2021년 4월</w:t>
            </w:r>
          </w:p>
        </w:tc>
        <w:tc>
          <w:tcPr>
            <w:tcW w:type="dxa" w:w="4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제로금리 동결, 완화적 통화정책 유지 (0.00~0.25%)</w:t>
            </w:r>
          </w:p>
        </w:tc>
        <w:tc>
          <w:tcPr>
            <w:tcW w:type="dxa" w:w="18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−0.35 (−0.18 / −0.53)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03030"/>
                <w:sz w:val="16"/>
                <w:szCs w:val="16"/>
              </w:rPr>
              <w:t xml:space="preserve">비관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B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2023년 6월</w:t>
            </w:r>
          </w:p>
        </w:tc>
        <w:tc>
          <w:tcPr>
            <w:tcW w:type="dxa" w:w="4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기준금리 동결 (5.00~5.25%)</w:t>
            </w:r>
          </w:p>
        </w:tc>
        <w:tc>
          <w:tcPr>
            <w:tcW w:type="dxa" w:w="18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−0.32 (−0.12 / −0.53)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03030"/>
                <w:sz w:val="16"/>
                <w:szCs w:val="16"/>
              </w:rPr>
              <w:t xml:space="preserve">비관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C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2024년 1월</w:t>
            </w:r>
          </w:p>
        </w:tc>
        <w:tc>
          <w:tcPr>
            <w:tcW w:type="dxa" w:w="4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기준금리 동결, 4회 연속 (5.25~5.50%)</w:t>
            </w:r>
          </w:p>
        </w:tc>
        <w:tc>
          <w:tcPr>
            <w:tcW w:type="dxa" w:w="18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+0.30 (−0.15 / +0.75)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7F4B"/>
                <w:sz w:val="16"/>
                <w:szCs w:val="16"/>
              </w:rPr>
              <w:t xml:space="preserve">낙관</w:t>
            </w:r>
          </w:p>
        </w:tc>
      </w:tr>
      <w:tr>
        <w:tc>
          <w:tcPr>
            <w:tcW w:type="dxa" w:w="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D</w:t>
            </w:r>
          </w:p>
        </w:tc>
        <w:tc>
          <w:tcPr>
            <w:tcW w:type="dxa" w:w="11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2025년 1월</w:t>
            </w:r>
          </w:p>
        </w:tc>
        <w:tc>
          <w:tcPr>
            <w:tcW w:type="dxa" w:w="40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기준금리 동결, 인하 3회 후 첫 동결 (4.25~4.50%)</w:t>
            </w:r>
          </w:p>
        </w:tc>
        <w:tc>
          <w:tcPr>
            <w:tcW w:type="dxa" w:w="18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+0.47 (−0.18 / +1.12)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7F4B"/>
                <w:sz w:val="16"/>
                <w:szCs w:val="16"/>
              </w:rPr>
              <w:t xml:space="preserve">낙관</w:t>
            </w:r>
          </w:p>
        </w:tc>
      </w:tr>
    </w:tbl>
    <w:p>
      <w:pPr>
        <w:spacing w:after="50" w:before="50" w:line="228"/>
      </w:pPr>
      <w:r>
        <w:rPr>
          <w:rFonts w:ascii="맑은 고딕" w:cs="맑은 고딕" w:eastAsia="맑은 고딕" w:hAnsi="맑은 고딕"/>
          <w:color w:val="595959"/>
          <w:sz w:val="15"/>
          <w:szCs w:val="15"/>
        </w:rPr>
        <w:t xml:space="preserve">각 회의를 기사·대시보드 두 형식으로 제작하여 총 8종을 사용하며, 같은 ID의 두 형식은 동일한 회의를 다룬다. 어조 지수는 0을 평소 수준으로 하는 표준화 값으로, 양수는 평소 회의보다 낙관적임을 뜻한다.</w:t>
      </w:r>
    </w:p>
    <w:p>
      <w:pPr>
        <w:pBdr>
          <w:bottom w:val="single" w:color="BFBFBF" w:sz="6" w:space="2"/>
        </w:pBdr>
        <w:spacing w:after="60" w:before="120" w:line="252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4. 절차 및 측정</w:t>
      </w:r>
    </w:p>
    <w:p>
      <w:pPr>
        <w:spacing w:after="60" w:before="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참여자는 배정된 군의 자극물 4건을 정해진 순서로 열람하고, 매 시행마다 해당 회의의 정책 기조를 '낙관 / 비관' 중 하나로 판단한다. 종속변인은 4시행 중 정답 수(0–4)이며, 공변량으로 [확신도·금융 지식 수준·인구통계 문항 기재 필요]을 수집한다.</w:t>
      </w:r>
    </w:p>
    <w:p>
      <w:pPr>
        <w:pBdr>
          <w:bottom w:val="single" w:color="BFBFBF" w:sz="6" w:space="2"/>
        </w:pBdr>
        <w:spacing w:after="60" w:before="120" w:line="252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5. 분석 계획</w:t>
      </w:r>
    </w:p>
    <w:p>
      <w:pPr>
        <w:spacing w:after="60" w:before="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군간 평균 정답 수를 독립표본 t 검정으로 비교하고, 시행 단위 정오 자료는 참여자를 임의효과로 둔 혼합효과 로지스틱 회귀로 병행 분석한다. 다만 군당 16명에서 α = .05(양측)와 검정력 .80을 확보하려면 Cohen's d ≈ 1.0의 큰 효과가 필요하므로, 본 연구는 효과의 방향과 크기를 탐색하는 예비 연구로 위치시키고자 한다.</w:t>
      </w:r>
    </w:p>
    <w:p>
      <w:pPr>
        <w:pBdr>
          <w:bottom w:val="single" w:color="BFBFBF" w:sz="6" w:space="2"/>
        </w:pBdr>
        <w:spacing w:after="60" w:before="120" w:line="252"/>
      </w:pPr>
      <w:r>
        <w:rPr>
          <w:rFonts w:ascii="맑은 고딕" w:cs="맑은 고딕" w:eastAsia="맑은 고딕" w:hAnsi="맑은 고딕"/>
          <w:b/>
          <w:bCs/>
          <w:color w:val="1F4E79"/>
          <w:sz w:val="21"/>
          <w:szCs w:val="21"/>
        </w:rPr>
        <w:t xml:space="preserve">6. 현재 진행 상황 및 확인 요청</w:t>
      </w:r>
    </w:p>
    <w:p>
      <w:pPr>
        <w:spacing w:after="60" w:before="0" w:line="252"/>
        <w:jc w:val="both"/>
      </w:pPr>
      <w:r>
        <w:rPr>
          <w:rFonts w:ascii="맑은 고딕" w:cs="맑은 고딕" w:eastAsia="맑은 고딕" w:hAnsi="맑은 고딕"/>
          <w:sz w:val="18"/>
          <w:szCs w:val="18"/>
        </w:rPr>
        <w:t xml:space="preserve">자극물 8종 제작과 Qualtrics 설문 구현을 완료했으며, 배포 전 아래 세 가지에 대한 지도를 부탁드립니다.</w:t>
      </w:r>
    </w:p>
    <w:p>
      <w:pPr>
        <w:spacing w:after="30" w:before="0" w:line="252"/>
        <w:ind w:left="170" w:hanging="170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출처 표현의 비대칭  </w:t>
      </w:r>
      <w:r>
        <w:rPr>
          <w:rFonts w:ascii="맑은 고딕" w:cs="맑은 고딕" w:eastAsia="맑은 고딕" w:hAnsi="맑은 고딕"/>
          <w:sz w:val="18"/>
          <w:szCs w:val="18"/>
        </w:rPr>
        <w:t xml:space="preserve">문항 안내문은 '공공기관에서 나온 기사', 자극물 내 출처는 '○○경제'로 서로 다른 주체를 가리켜 정보원 신뢰도 인식이 교란될 수 있습니다.</w:t>
      </w:r>
    </w:p>
    <w:p>
      <w:pPr>
        <w:spacing w:after="30" w:before="0" w:line="252"/>
        <w:ind w:left="170" w:hanging="170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시기 회상 단서  </w:t>
      </w:r>
      <w:r>
        <w:rPr>
          <w:rFonts w:ascii="맑은 고딕" w:cs="맑은 고딕" w:eastAsia="맑은 고딕" w:hAnsi="맑은 고딕"/>
          <w:sz w:val="18"/>
          <w:szCs w:val="18"/>
        </w:rPr>
        <w:t xml:space="preserve">자극물 A에만 '코로나19'가 언급되어 어조가 아닌 시기 기억에 근거한 응답이 나올 수 있고, A가 첫 시행이라 이후 시행으로 전이될 우려가 있습니다.</w:t>
      </w:r>
    </w:p>
    <w:p>
      <w:pPr>
        <w:spacing w:after="30" w:before="0" w:line="252"/>
        <w:ind w:left="170" w:hanging="170"/>
        <w:jc w:val="both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정답 배열 패턴  </w:t>
      </w:r>
      <w:r>
        <w:rPr>
          <w:rFonts w:ascii="맑은 고딕" w:cs="맑은 고딕" w:eastAsia="맑은 고딕" w:hAnsi="맑은 고딕"/>
          <w:sz w:val="18"/>
          <w:szCs w:val="18"/>
        </w:rPr>
        <w:t xml:space="preserve">정답이 비관–낙관–비관–낙관 교대 배열이어서, 후반 시행에서 패턴 추론에 의한 응답이 가능합니다.</w:t>
      </w:r>
    </w:p>
    <w:p>
      <w:pPr>
        <w:pBdr>
          <w:top w:val="single" w:color="BFBFBF" w:sz="6" w:space="5"/>
        </w:pBdr>
        <w:spacing w:after="0" w:before="120" w:line="228"/>
      </w:pPr>
      <w:r>
        <w:rPr>
          <w:rFonts w:ascii="맑은 고딕" w:cs="맑은 고딕" w:eastAsia="맑은 고딕" w:hAnsi="맑은 고딕"/>
          <w:b/>
          <w:bCs/>
          <w:color w:val="595959"/>
          <w:sz w:val="16"/>
          <w:szCs w:val="16"/>
        </w:rPr>
        <w:t xml:space="preserve">설문 링크  </w:t>
      </w:r>
      <w:hyperlink w:history="1" r:id="rId9jtx38zojhvtna9bn-g3z">
        <w:r>
          <w:rPr>
            <w:rFonts w:ascii="맑은 고딕" w:cs="맑은 고딕" w:eastAsia="맑은 고딕" w:hAnsi="맑은 고딕"/>
            <w:color w:val="1155CC"/>
            <w:sz w:val="15"/>
            <w:szCs w:val="15"/>
            <w:u w:val="single"/>
          </w:rPr>
          <w:t xml:space="preserve">https://qualtricsxmrg5rrnwkl.qualtrics.com/jfe/form/SV_9GircY5pnnpnSHI</w:t>
        </w:r>
      </w:hyperlink>
    </w:p>
    <w:sectPr>
      <w:pgSz w:w="11906" w:h="16838" w:orient="portrait"/>
      <w:pgMar w:top="960" w:right="1080" w:bottom="8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jtx38zojhvtna9bn-g3z" Type="http://schemas.openxmlformats.org/officeDocument/2006/relationships/hyperlink" Target="https://qualtricsxmrg5rrnwkl.qualtrics.com/jfe/form/SV_9GircY5pnnpnSHI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2026-09-20T10:36:00.511Z</dcterms:created>
  <dcterms:modified xsi:type="dcterms:W3CDTF">2026-09-20T10:36:00.511Z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