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5" w:before="0" w:line="272"/>
        <w:jc w:val="center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FOMC 커뮤니케이션의 제시 형식과</w:t>
      </w:r>
      <w:r>
        <w:rPr>
          <w:rFonts w:ascii="맑은 고딕" w:cs="맑은 고딕" w:eastAsia="맑은 고딕" w:hAnsi="맑은 고딕"/>
          <w:sz w:val="18"/>
          <w:szCs w:val="18"/>
        </w:rPr>
        <w:br/>
        <w:t xml:space="preserve"/>
      </w: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통화정책 기조 판단 정확도</w:t>
      </w:r>
    </w:p>
    <w:p>
      <w:pPr>
        <w:spacing w:after="45" w:before="0" w:line="252"/>
        <w:jc w:val="center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실험 개요</w:t>
      </w:r>
    </w:p>
    <w:p>
      <w:pPr>
        <w:pBdr>
          <w:bottom w:val="single" w:color="1F4E79" w:sz="8" w:space="5"/>
        </w:pBdr>
        <w:spacing w:after="120" w:before="0" w:line="252"/>
        <w:jc w:val="center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UNIST 경영과학부 AICP 연구 프로젝트 · 팀 EconPilot · 작성자 [이름] · 2026년 9월 20일</w:t>
      </w:r>
    </w:p>
    <w:p>
      <w:pPr>
        <w:pBdr>
          <w:bottom w:val="single" w:color="BFBFBF" w:sz="6" w:space="2"/>
        </w:pBdr>
        <w:spacing w:after="55" w:before="110" w:line="252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1. 연구 질문</w:t>
      </w:r>
    </w:p>
    <w:p>
      <w:pPr>
        <w:spacing w:after="60" w:before="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중앙은행 커뮤니케이션에서 정책 기조에 관한 정보는 결정 사실보다 그것을 전달하는 어조에 더 많이 담긴다. 동일하게 '동결'로 보도된 회의라도 향후 방향에 대한 함의는 크게 다르다. 본 연구는 같은 FOMC 회의 정보를 (가) 언론 기사와 (나) 어조 지수 도표 중 어느 형식으로 접하는지에 따라 비전문가의 기조 판단 정확도가 달라지는지를 검증한다.</w:t>
      </w:r>
    </w:p>
    <w:p>
      <w:pPr>
        <w:pBdr>
          <w:bottom w:val="single" w:color="BFBFBF" w:sz="6" w:space="2"/>
        </w:pBdr>
        <w:spacing w:after="55" w:before="110" w:line="252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2. 가설</w:t>
      </w:r>
    </w:p>
    <w:p>
      <w:pPr>
        <w:spacing w:after="28" w:before="0" w:line="252"/>
        <w:ind w:left="170" w:hanging="170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H1 (주효과)  </w:t>
      </w:r>
      <w:r>
        <w:rPr>
          <w:rFonts w:ascii="맑은 고딕" w:cs="맑은 고딕" w:eastAsia="맑은 고딕" w:hAnsi="맑은 고딕"/>
          <w:sz w:val="18"/>
          <w:szCs w:val="18"/>
        </w:rPr>
        <w:t xml:space="preserve">도표군이 언론군보다 기조 판단 정확도가 높을 것이다. 어조가 수치로 명시되어, 텍스트에서 함의를 추론하는 인지적 부담이 줄기 때문이다.</w:t>
      </w:r>
    </w:p>
    <w:p>
      <w:pPr>
        <w:spacing w:after="28" w:before="0" w:line="252"/>
        <w:ind w:left="170" w:hanging="170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H2 (강도 평정)  </w:t>
      </w:r>
      <w:r>
        <w:rPr>
          <w:rFonts w:ascii="맑은 고딕" w:cs="맑은 고딕" w:eastAsia="맑은 고딕" w:hAnsi="맑은 고딕"/>
          <w:sz w:val="18"/>
          <w:szCs w:val="18"/>
        </w:rPr>
        <w:t xml:space="preserve">도표군의 0–10 강도 평정이 자극물의 실제 어조 지수와 더 강하게 상관될 것이다.</w:t>
      </w:r>
    </w:p>
    <w:p>
      <w:pPr>
        <w:spacing w:after="28" w:before="0" w:line="252"/>
        <w:ind w:left="170" w:hanging="170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H3 (조절, 탐색)  </w:t>
      </w:r>
      <w:r>
        <w:rPr>
          <w:rFonts w:ascii="맑은 고딕" w:cs="맑은 고딕" w:eastAsia="맑은 고딕" w:hAnsi="맑은 고딕"/>
          <w:sz w:val="18"/>
          <w:szCs w:val="18"/>
        </w:rPr>
        <w:t xml:space="preserve">투자 경험이 있는 응답자일수록 언론군에서의 정확도 손실이 작을 것이다. 도메인 지식이 텍스트 어조 해독을 보완하기 때문이다.</w:t>
      </w:r>
    </w:p>
    <w:p>
      <w:pPr>
        <w:pBdr>
          <w:bottom w:val="single" w:color="BFBFBF" w:sz="6" w:space="2"/>
        </w:pBdr>
        <w:spacing w:after="55" w:before="110" w:line="252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3. 실험 설계</w:t>
      </w:r>
    </w:p>
    <w:p>
      <w:pPr>
        <w:spacing w:after="28" w:before="0" w:line="252"/>
        <w:ind w:left="170" w:hanging="170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설계  </w:t>
      </w:r>
      <w:r>
        <w:rPr>
          <w:rFonts w:ascii="맑은 고딕" w:cs="맑은 고딕" w:eastAsia="맑은 고딕" w:hAnsi="맑은 고딕"/>
          <w:sz w:val="18"/>
          <w:szCs w:val="18"/>
        </w:rPr>
        <w:t xml:space="preserve">피험자간 2조건 — 언론군(기사) / 도표군(어조 지수 도표). Qualtrics 설문 2종으로 분리 운영</w:t>
      </w:r>
    </w:p>
    <w:p>
      <w:pPr>
        <w:spacing w:after="28" w:before="0" w:line="252"/>
        <w:ind w:left="170" w:hanging="170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표본  </w:t>
      </w:r>
      <w:r>
        <w:rPr>
          <w:rFonts w:ascii="맑은 고딕" w:cs="맑은 고딕" w:eastAsia="맑은 고딕" w:hAnsi="맑은 고딕"/>
          <w:sz w:val="18"/>
          <w:szCs w:val="18"/>
        </w:rPr>
        <w:t xml:space="preserve">총 32명, 군당 16명. 모집 방법 및 보상 [기재 필요]</w:t>
      </w:r>
    </w:p>
    <w:p>
      <w:pPr>
        <w:spacing w:after="28" w:before="0" w:line="252"/>
        <w:ind w:left="170" w:hanging="170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통제  </w:t>
      </w:r>
      <w:r>
        <w:rPr>
          <w:rFonts w:ascii="맑은 고딕" w:cs="맑은 고딕" w:eastAsia="맑은 고딕" w:hAnsi="맑은 고딕"/>
          <w:sz w:val="18"/>
          <w:szCs w:val="18"/>
        </w:rPr>
        <w:t xml:space="preserve">네 자극물 모두 FOMC 결정 내용이 '동결'로 동일 — 표면적 사실을 고정하고 어조만 변이시킴</w:t>
      </w:r>
    </w:p>
    <w:p>
      <w:pPr>
        <w:spacing w:after="28" w:before="0" w:line="252"/>
        <w:ind w:left="170" w:hanging="170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제시 순서  </w:t>
      </w:r>
      <w:r>
        <w:rPr>
          <w:rFonts w:ascii="맑은 고딕" w:cs="맑은 고딕" w:eastAsia="맑은 고딕" w:hAnsi="맑은 고딕"/>
          <w:sz w:val="18"/>
          <w:szCs w:val="18"/>
        </w:rPr>
        <w:t xml:space="preserve">A → C → B → D, 양 군 동일하게 고정 (순서 효과 통제). 소요 시간 약 9분</w:t>
      </w:r>
    </w:p>
    <w:p>
      <w:pPr>
        <w:pBdr>
          <w:bottom w:val="single" w:color="BFBFBF" w:sz="6" w:space="2"/>
        </w:pBdr>
        <w:spacing w:after="55" w:before="110" w:line="252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4. 자극물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20"/>
        <w:gridCol w:w="1050"/>
        <w:gridCol w:w="3676"/>
        <w:gridCol w:w="2200"/>
        <w:gridCol w:w="2200"/>
      </w:tblGrid>
      <w:tr>
        <w:trPr>
          <w:tblHeader/>
        </w:trPr>
        <w:tc>
          <w:tcPr>
            <w:tcW w:type="dxa" w:w="620"/>
            <w:shd w:fill="EDF2F7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1050"/>
            <w:shd w:fill="EDF2F7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회의 시점</w:t>
            </w:r>
          </w:p>
        </w:tc>
        <w:tc>
          <w:tcPr>
            <w:tcW w:type="dxa" w:w="3676"/>
            <w:shd w:fill="EDF2F7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FOMC 결정 내용 (금리)</w:t>
            </w:r>
          </w:p>
        </w:tc>
        <w:tc>
          <w:tcPr>
            <w:tcW w:type="dxa" w:w="2200"/>
            <w:shd w:fill="EDF2F7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도표 종합 지수</w:t>
            </w:r>
          </w:p>
        </w:tc>
        <w:tc>
          <w:tcPr>
            <w:tcW w:type="dxa" w:w="2200"/>
            <w:shd w:fill="EDF2F7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기조 정답</w:t>
            </w:r>
          </w:p>
        </w:tc>
      </w:tr>
      <w:tr>
        <w:tc>
          <w:tcPr>
            <w:tcW w:type="dxa" w:w="6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</w:t>
            </w:r>
          </w:p>
        </w:tc>
        <w:tc>
          <w:tcPr>
            <w:tcW w:type="dxa" w:w="10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2021. 4.</w:t>
            </w:r>
          </w:p>
        </w:tc>
        <w:tc>
          <w:tcPr>
            <w:tcW w:type="dxa" w:w="3676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제로금리 동결 (0.00~0.25%)</w:t>
            </w:r>
          </w:p>
        </w:tc>
        <w:tc>
          <w:tcPr>
            <w:tcW w:type="dxa" w:w="22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03030"/>
                <w:sz w:val="16"/>
                <w:szCs w:val="16"/>
              </w:rPr>
              <w:t xml:space="preserve">−0.35</w:t>
            </w:r>
          </w:p>
        </w:tc>
        <w:tc>
          <w:tcPr>
            <w:tcW w:type="dxa" w:w="22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03030"/>
                <w:sz w:val="16"/>
                <w:szCs w:val="16"/>
              </w:rPr>
              <w:t xml:space="preserve">비관</w:t>
            </w:r>
          </w:p>
        </w:tc>
      </w:tr>
      <w:tr>
        <w:tc>
          <w:tcPr>
            <w:tcW w:type="dxa" w:w="6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B</w:t>
            </w:r>
          </w:p>
        </w:tc>
        <w:tc>
          <w:tcPr>
            <w:tcW w:type="dxa" w:w="10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2023. 6.</w:t>
            </w:r>
          </w:p>
        </w:tc>
        <w:tc>
          <w:tcPr>
            <w:tcW w:type="dxa" w:w="3676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동결 (5.00~5.25%)</w:t>
            </w:r>
          </w:p>
        </w:tc>
        <w:tc>
          <w:tcPr>
            <w:tcW w:type="dxa" w:w="22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03030"/>
                <w:sz w:val="16"/>
                <w:szCs w:val="16"/>
              </w:rPr>
              <w:t xml:space="preserve">−0.32</w:t>
            </w:r>
          </w:p>
        </w:tc>
        <w:tc>
          <w:tcPr>
            <w:tcW w:type="dxa" w:w="22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03030"/>
                <w:sz w:val="16"/>
                <w:szCs w:val="16"/>
              </w:rPr>
              <w:t xml:space="preserve">비관</w:t>
            </w:r>
          </w:p>
        </w:tc>
      </w:tr>
      <w:tr>
        <w:tc>
          <w:tcPr>
            <w:tcW w:type="dxa" w:w="6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C</w:t>
            </w:r>
          </w:p>
        </w:tc>
        <w:tc>
          <w:tcPr>
            <w:tcW w:type="dxa" w:w="10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2024. 1.</w:t>
            </w:r>
          </w:p>
        </w:tc>
        <w:tc>
          <w:tcPr>
            <w:tcW w:type="dxa" w:w="3676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동결, 4회 연속 (5.25~5.50%)</w:t>
            </w:r>
          </w:p>
        </w:tc>
        <w:tc>
          <w:tcPr>
            <w:tcW w:type="dxa" w:w="22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7F4B"/>
                <w:sz w:val="16"/>
                <w:szCs w:val="16"/>
              </w:rPr>
              <w:t xml:space="preserve">+0.30</w:t>
            </w:r>
          </w:p>
        </w:tc>
        <w:tc>
          <w:tcPr>
            <w:tcW w:type="dxa" w:w="22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7F4B"/>
                <w:sz w:val="16"/>
                <w:szCs w:val="16"/>
              </w:rPr>
              <w:t xml:space="preserve">낙관</w:t>
            </w:r>
          </w:p>
        </w:tc>
      </w:tr>
      <w:tr>
        <w:tc>
          <w:tcPr>
            <w:tcW w:type="dxa" w:w="6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D</w:t>
            </w:r>
          </w:p>
        </w:tc>
        <w:tc>
          <w:tcPr>
            <w:tcW w:type="dxa" w:w="10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2025. 1.</w:t>
            </w:r>
          </w:p>
        </w:tc>
        <w:tc>
          <w:tcPr>
            <w:tcW w:type="dxa" w:w="3676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동결, 인하 3회 후 첫 동결 (4.25~4.50%)</w:t>
            </w:r>
          </w:p>
        </w:tc>
        <w:tc>
          <w:tcPr>
            <w:tcW w:type="dxa" w:w="22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7F4B"/>
                <w:sz w:val="16"/>
                <w:szCs w:val="16"/>
              </w:rPr>
              <w:t xml:space="preserve">+0.47</w:t>
            </w:r>
          </w:p>
        </w:tc>
        <w:tc>
          <w:tcPr>
            <w:tcW w:type="dxa" w:w="22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7F4B"/>
                <w:sz w:val="16"/>
                <w:szCs w:val="16"/>
              </w:rPr>
              <w:t xml:space="preserve">낙관</w:t>
            </w:r>
          </w:p>
        </w:tc>
      </w:tr>
    </w:tbl>
    <w:p>
      <w:pPr>
        <w:spacing w:after="45" w:before="45" w:line="228"/>
      </w:pPr>
      <w:r>
        <w:rPr>
          <w:rFonts w:ascii="맑은 고딕" w:cs="맑은 고딕" w:eastAsia="맑은 고딕" w:hAnsi="맑은 고딕"/>
          <w:color w:val="595959"/>
          <w:sz w:val="15"/>
          <w:szCs w:val="15"/>
        </w:rPr>
        <w:t xml:space="preserve">각 회의를 기사·도표 두 형식으로 제작하여 총 8종 사용. 지수는 0 = 평소 회의 수준인 표준화 값. 설문지 전문은 별첨 PDF 참조.</w:t>
      </w:r>
    </w:p>
    <w:p>
      <w:pPr>
        <w:pBdr>
          <w:bottom w:val="single" w:color="BFBFBF" w:sz="6" w:space="2"/>
        </w:pBdr>
        <w:spacing w:after="55" w:before="110" w:line="252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5. 측정 및 분석</w:t>
      </w:r>
    </w:p>
    <w:p>
      <w:pPr>
        <w:spacing w:after="60" w:before="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매 시행 두 문항에 응답한다. 문항1(평소 대비 낙관/비관 이분 선택)의 4시행 정답 수(0–4)가 주 종속변인, 문항2(0–10 강도 평정)가 보조 종속변인이며, 공변량은 투자 경험 여부와 연령대다. 군간 평균 정답 수는 독립표본 t 검정으로, 시행 단위 정오는 참여자를 임의효과로 둔 혼합효과 로지스틱 회귀로 분석한다. 다만 군당 16명에서 검정력 .80을 확보하려면 Cohen's d ≈ 1.0의 큰 효과가 필요하므로, 본 연구는 효과의 방향과 크기를 탐색하는 예비 연구로 위치시킨다.</w:t>
      </w:r>
    </w:p>
    <w:p>
      <w:pPr>
        <w:pBdr>
          <w:bottom w:val="single" w:color="BFBFBF" w:sz="6" w:space="2"/>
        </w:pBdr>
        <w:spacing w:after="55" w:before="110" w:line="252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6. 확인 요청</w:t>
      </w:r>
    </w:p>
    <w:p>
      <w:pPr>
        <w:spacing w:after="28" w:before="0" w:line="252"/>
        <w:ind w:left="170" w:hanging="170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H1의 방향  </w:t>
      </w:r>
      <w:r>
        <w:rPr>
          <w:rFonts w:ascii="맑은 고딕" w:cs="맑은 고딕" w:eastAsia="맑은 고딕" w:hAnsi="맑은 고딕"/>
          <w:sz w:val="18"/>
          <w:szCs w:val="18"/>
        </w:rPr>
        <w:t xml:space="preserve">기사의 맥락 정보가 오히려 이해를 돕는다는 반대 예측도 가능합니다. 방향을 사전에 확정할지, 양측 검정으로 열어둘지 지도를 구합니다.</w:t>
      </w:r>
    </w:p>
    <w:p>
      <w:pPr>
        <w:spacing w:after="28" w:before="0" w:line="252"/>
        <w:ind w:left="170" w:hanging="170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제시 순서  </w:t>
      </w:r>
      <w:r>
        <w:rPr>
          <w:rFonts w:ascii="맑은 고딕" w:cs="맑은 고딕" w:eastAsia="맑은 고딕" w:hAnsi="맑은 고딕"/>
          <w:sz w:val="18"/>
          <w:szCs w:val="18"/>
        </w:rPr>
        <w:t xml:space="preserve">현 순서의 정답이 비관–낙관–비관–낙관 교대 배열이어서, 후반 시행에서 패턴 추론에 의한 응답이 가능합니다. 배열 변경을 검토 중입니다.</w:t>
      </w:r>
    </w:p>
    <w:p>
      <w:pPr>
        <w:spacing w:after="28" w:before="0" w:line="252"/>
        <w:ind w:left="170" w:hanging="170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Qualtrics 계정  </w:t>
      </w:r>
      <w:r>
        <w:rPr>
          <w:rFonts w:ascii="맑은 고딕" w:cs="맑은 고딕" w:eastAsia="맑은 고딕" w:hAnsi="맑은 고딕"/>
          <w:sz w:val="18"/>
          <w:szCs w:val="18"/>
        </w:rPr>
        <w:t xml:space="preserve">현재 평가판 계정으로, 30일 후 만료되며 응답 수 상한이 있습니다. 수집 시작 전 기관 라이선스로 이관이 필요합니다.</w:t>
      </w:r>
    </w:p>
    <w:sectPr>
      <w:pgSz w:w="11906" w:h="16838" w:orient="portrait"/>
      <w:pgMar w:top="940" w:right="1080" w:bottom="8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2026-09-20T11:51:31.457Z</dcterms:created>
  <dcterms:modified xsi:type="dcterms:W3CDTF">2026-09-20T11:51:31.468Z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