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사전 등록 문서 (Pre-registration)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FOMC 커뮤니케이션의 제시 형식과</w:t>
      </w:r>
      <w:r>
        <w:rPr>
          <w:rFonts w:ascii="맑은 고딕" w:cs="맑은 고딕" w:eastAsia="맑은 고딕" w:hAnsi="맑은 고딕"/>
          <w:sz w:val="19"/>
          <w:szCs w:val="19"/>
        </w:rPr>
        <w:br/>
        <w:t xml:space="preserve"/>
      </w: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통화정책 기조 판단 정확도</w:t>
      </w:r>
    </w:p>
    <w:p>
      <w:pPr>
        <w:pBdr>
          <w:bottom w:val="single" w:color="1F4E79" w:sz="8" w:space="6"/>
        </w:pBdr>
        <w:spacing w:after="180" w:before="0" w:line="264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UNIST 경영과학부 AICP 연구 프로젝트 · 팀 EconPilot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연구 개요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546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v1.0 — 데이터 수집 개시 전 작성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작성일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2026년 9월 20일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작성자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최인영 (dlsdud0510@unist.ac.kr) · 팀원 [기재 필요]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지도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한희은 교수님 · 이사야 교수님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수집 예정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[O월 O일] ~ [O월 O일]</w:t>
            </w:r>
          </w:p>
        </w:tc>
      </w:tr>
      <w:tr>
        <w:tc>
          <w:tcPr>
            <w:tcW w:type="dxa" w:w="2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75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설문 구현 완료, 배포 전. 데이터 수집 및 열람 이력 없음</w:t>
            </w:r>
          </w:p>
        </w:tc>
      </w:tr>
    </w:tbl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본 문서는 데이터를 수집하거나 열람하기 전에 작성되었으며, 이후의 모든 변경은 13절에 기록한다.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배경 및 연구 질문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선행 감성분석에서 우리는 FOMC 회의 문서가 절대 기준으로는 거의 항상 낙관적으로 읽힌다는 점을 확인했다. 2012년 이후 열린 FOMC 성명문의 약 73%가 절대 기준으로 양(+)의 어조 점수를 받았다. 따라서 한 회의를 그 자체로만 읽으면 의미 있는 판단이 되지 않으며, '평소 회의에 비해 이번이 더 낙관적인가, 더 신중한가'라는 상대 비교가 필요하다.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그러나 어조를 지수로 계량하는 것과, 그 정보가 실제 수용자에게 전달되는 것은 별개의 문제다. 대중이 FOMC를 접하는 주된 경로는 언론 보도이며, 기사는 결정 사실을 전하는 데 집중하여 어조의 함의를 충분히 드러내지 못할 수 있다.</w:t>
      </w:r>
    </w:p>
    <w:p>
      <w:pPr>
        <w:pStyle w:val="Heading2"/>
        <w:spacing w:after="70" w:before="17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연구 질문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동일한 FOMC 회의를 (가) 언론 기사로 접할 때와 (나) 어조 지수 도표로 접할 때, 비전문가는 연준의 정책 기조를 더 정확히 판단하는가? 그리고 그 판단의 차이가 투자 의향으로 이어지는가?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가설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H1 (확증적, 주가설)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도표군은 언론군보다 정책 기조 판단 정확도가 높을 것이다. 어조가 수치로 명시되어, 텍스트에서 함의를 추론하는 부담이 없기 때문이다.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H2 (탐색적)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도표군은 어조의 방향뿐 아니라 세기까지 읽어낼 것이다. 즉 지수가 높은 자극물일수록 강도 평정을 높게 매기는 경향이 언론군보다 뚜렷할 것이다.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H3 (탐색적)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도표군은 투자 의향의 조정 방향이 자극물 어조와 더 일치할 것이다(낙관 시행 &gt; 5, 비관 시행 &lt; 5). 이 효과는 H1의 판단 정확도를 경유하는 것으로 본다.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H4 (탐색적)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도표군은 확신도와 실제 정확도의 대응이 더 좋을 것이다. 언론군은 어조를 잘못 읽으면서도 확신은 높은 과신 패턴을 보일 수 있다.</w:t>
      </w:r>
    </w:p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H1만을 확증적 가설로 두며, H2–H4는 탐색적 가설로 다중비교 보정 없이 검정하고 결과를 탐색적으로만 해석한다.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실험 설계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설계  </w:t>
      </w:r>
      <w:r>
        <w:rPr>
          <w:rFonts w:ascii="맑은 고딕" w:cs="맑은 고딕" w:eastAsia="맑은 고딕" w:hAnsi="맑은 고딕"/>
          <w:sz w:val="19"/>
          <w:szCs w:val="19"/>
        </w:rPr>
        <w:t xml:space="preserve">피험자간 2조건 — 언론군(뉴스 기사) / 도표군(어조 지수 도표). Qualtrics 설문 2종으로 분리 운영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배정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대면 진행. 진행자가 두 자리 참가자 번호를 부여하며, 번호에 따라 조건을 배정한다. 참여자는 자신의 조건이 무엇인지, 다른 조건이 존재한다는 사실을 알지 못한다.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통제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네 자극물 모두 FOMC 결정 내용이 '동결'로 동일하다. 표면적 사실을 고정하고 어조만 변이시킨다.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제시 순서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A → C → B → D 로 양 군 동일하게 고정한다(순서 효과 통제).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문안 통제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두 군의 문항·안내문은 자극물을 지칭하는 명사 하나를 제외하고 완전히 동일하다.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 자극물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4개 FOMC 회의를 각각 기사·도표 두 형식으로 제작하여 총 8종을 사용한다. 같은 ID의 두 형식은 동일한 회의를 다룬다. 어조 지수는 0을 평소 회의 수준으로 하는 표준화 값이며, 종합 지수의 부호가 기조 정답을 정의한다.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080"/>
        <w:gridCol w:w="3566"/>
        <w:gridCol w:w="1700"/>
        <w:gridCol w:w="1350"/>
        <w:gridCol w:w="1350"/>
      </w:tblGrid>
      <w:tr>
        <w:trPr>
          <w:tblHeader/>
        </w:trPr>
        <w:tc>
          <w:tcPr>
            <w:tcW w:type="dxa" w:w="7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08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회의</w:t>
            </w:r>
          </w:p>
        </w:tc>
        <w:tc>
          <w:tcPr>
            <w:tcW w:type="dxa" w:w="3566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FOMC 결정 내용 (금리)</w:t>
            </w:r>
          </w:p>
        </w:tc>
        <w:tc>
          <w:tcPr>
            <w:tcW w:type="dxa" w:w="17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성명문 z</w:t>
            </w:r>
          </w:p>
        </w:tc>
        <w:tc>
          <w:tcPr>
            <w:tcW w:type="dxa" w:w="135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기자회견 z</w:t>
            </w:r>
          </w:p>
        </w:tc>
        <w:tc>
          <w:tcPr>
            <w:tcW w:type="dxa" w:w="135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정답</w:t>
            </w:r>
          </w:p>
        </w:tc>
      </w:tr>
      <w:tr>
        <w:tc>
          <w:tcPr>
            <w:tcW w:type="dxa" w:w="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08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2021.4</w:t>
            </w:r>
          </w:p>
        </w:tc>
        <w:tc>
          <w:tcPr>
            <w:tcW w:type="dxa" w:w="356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제로금리 동결 (0.00~0.25%)</w:t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−0.18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−0.53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비관</w:t>
            </w:r>
          </w:p>
        </w:tc>
      </w:tr>
      <w:tr>
        <w:tc>
          <w:tcPr>
            <w:tcW w:type="dxa" w:w="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08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2023.6</w:t>
            </w:r>
          </w:p>
        </w:tc>
        <w:tc>
          <w:tcPr>
            <w:tcW w:type="dxa" w:w="356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동결 (5.00~5.25%)</w:t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−0.12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−0.53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비관</w:t>
            </w:r>
          </w:p>
        </w:tc>
      </w:tr>
      <w:tr>
        <w:tc>
          <w:tcPr>
            <w:tcW w:type="dxa" w:w="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2024.1</w:t>
            </w:r>
          </w:p>
        </w:tc>
        <w:tc>
          <w:tcPr>
            <w:tcW w:type="dxa" w:w="356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동결, 4회 연속 (5.25~5.50%)</w:t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−0.15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+0.75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낙관</w:t>
            </w:r>
          </w:p>
        </w:tc>
      </w:tr>
      <w:tr>
        <w:tc>
          <w:tcPr>
            <w:tcW w:type="dxa" w:w="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08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2025.1</w:t>
            </w:r>
          </w:p>
        </w:tc>
        <w:tc>
          <w:tcPr>
            <w:tcW w:type="dxa" w:w="356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동결, 인하 3회 후 첫 동결 (4.25~4.50%)</w:t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−0.18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+1.12</w:t>
            </w:r>
          </w:p>
        </w:tc>
        <w:tc>
          <w:tcPr>
            <w:tcW w:type="dxa" w:w="135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낙관</w:t>
            </w:r>
          </w:p>
        </w:tc>
      </w:tr>
    </w:tbl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종합 지수는 A −0.35, B −0.32, C +0.30, D +0.47. 네 자극물 모두 성명문 z가 음수이므로, 종합 지수의 부호는 기자회견 z가 결정한다.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 절차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연구 참여 동의 — 동의하지 않으면 설문이 종료된다.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참가자 정보 — 참가자 번호, 투자 경험 여부(있다/없다), 연령대(20대/30대/40대 이상).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과제 안내 — 뒤로 가기 금지, 중단 금지, 외부 검색 금지를 고지한다.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시행 1–4 — 자극물 1건을 제시하고 네 문항에 응답한다. 시행당 자극물 1개, 문항 4개.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⑤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사후 문항 — 집중도, 외부 검색 여부, 어려웠던 점(자유 응답).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⑥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디브리핑 — 두 형식이 존재했음, '평소 대비'를 물은 이유, 개별 정답을 알려주지 않는 이유를 안내한다.</w:t>
      </w:r>
    </w:p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총 소요 시간 약 9분. 한 참여자의 응답은 4자극물 × 4문항 = 16개.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 변수</w:t>
      </w:r>
    </w:p>
    <w:p>
      <w:pPr>
        <w:pStyle w:val="Heading2"/>
        <w:spacing w:after="70" w:before="17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독립변수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sz w:val="19"/>
          <w:szCs w:val="19"/>
        </w:rPr>
        <w:t xml:space="preserve">정보 제시 형식 (2수준, 피험자간) — 기사 / 도표</w:t>
      </w:r>
    </w:p>
    <w:p>
      <w:pPr>
        <w:pStyle w:val="Heading2"/>
        <w:spacing w:after="70" w:before="17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종속변수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400"/>
        <w:gridCol w:w="5146"/>
      </w:tblGrid>
      <w:tr>
        <w:trPr>
          <w:tblHeader/>
        </w:trPr>
        <w:tc>
          <w:tcPr>
            <w:tcW w:type="dxa" w:w="12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문항</w:t>
            </w:r>
          </w:p>
        </w:tc>
        <w:tc>
          <w:tcPr>
            <w:tcW w:type="dxa" w:w="34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측정</w:t>
            </w:r>
          </w:p>
        </w:tc>
        <w:tc>
          <w:tcPr>
            <w:tcW w:type="dxa" w:w="5146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조작적 정의</w:t>
            </w:r>
          </w:p>
        </w:tc>
      </w:tr>
      <w:tr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문항1</w:t>
            </w:r>
          </w:p>
        </w:tc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기조 판단 (이분)</w:t>
            </w:r>
          </w:p>
        </w:tc>
        <w:tc>
          <w:tcPr>
            <w:tcW w:type="dxa" w:w="51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'평소보다 낙관적' / '평소보다 비관적'. 자극물 종합 지수의 부호와 일치하면 정답. 4시행 정답 수(0–4)가 주 종속변수</w:t>
            </w:r>
          </w:p>
        </w:tc>
      </w:tr>
      <w:tr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문항2</w:t>
            </w:r>
          </w:p>
        </w:tc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강도 평정 (0–10)</w:t>
            </w:r>
          </w:p>
        </w:tc>
        <w:tc>
          <w:tcPr>
            <w:tcW w:type="dxa" w:w="51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 = 매우 비관 · 5 = 평소 수준 · 10 = 매우 낙관</w:t>
            </w:r>
          </w:p>
        </w:tc>
      </w:tr>
      <w:tr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문항3</w:t>
            </w:r>
          </w:p>
        </w:tc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투자 의향 (0–10)</w:t>
            </w:r>
          </w:p>
        </w:tc>
        <w:tc>
          <w:tcPr>
            <w:tcW w:type="dxa" w:w="51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'미국 주식을 보유하고 있다고 가정' 하에 보유 비중 조정 의향. 0 = 많이 줄이고 싶다 · 5 = 그대로 · 10 = 많이 늘리고 싶다</w:t>
            </w:r>
          </w:p>
        </w:tc>
      </w:tr>
      <w:tr>
        <w:tc>
          <w:tcPr>
            <w:tcW w:type="dxa" w:w="12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문항4</w:t>
            </w:r>
          </w:p>
        </w:tc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확신도 (0–10)</w:t>
            </w:r>
          </w:p>
        </w:tc>
        <w:tc>
          <w:tcPr>
            <w:tcW w:type="dxa" w:w="51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 = 전혀 확신할 수 없다 · 5 = 보통 · 10 = 매우 확신한다</w:t>
            </w:r>
          </w:p>
        </w:tc>
      </w:tr>
    </w:tbl>
    <w:p>
      <w:pPr>
        <w:pStyle w:val="Heading2"/>
        <w:spacing w:after="70" w:before="17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공변량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sz w:val="19"/>
          <w:szCs w:val="19"/>
        </w:rPr>
        <w:t xml:space="preserve">투자 경험 여부 (있다/없다), 연령대 (20대/30대/40대 이상)</w:t>
      </w:r>
    </w:p>
    <w:p>
      <w:pPr>
        <w:pStyle w:val="Heading2"/>
        <w:spacing w:after="70" w:before="17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파생 변수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sz w:val="19"/>
          <w:szCs w:val="19"/>
        </w:rPr>
        <w:t xml:space="preserve">어조 정합 조정 지수 — 낙관 시행(C, D)에서는 (문항3 − 5), 비관 시행(A, B)에서는 −(문항3 − 5) 를 구한 뒤 4시행 평균. 값이 클수록 자극물 어조가 가리키는 방향으로 의향을 조정했음을 뜻한다. H3의 종속변수.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 표본 및 중지 규칙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목표 표본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 32명, 군당 16명. [모집 방법 기재 필요] · 보상 [기재 필요]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중지 규칙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각 군이 유효 응답 16명에 도달하면 수집을 중단한다.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결원 처리  </w:t>
      </w:r>
      <w:r>
        <w:rPr>
          <w:rFonts w:ascii="맑은 고딕" w:cs="맑은 고딕" w:eastAsia="맑은 고딕" w:hAnsi="맑은 고딕"/>
          <w:sz w:val="19"/>
          <w:szCs w:val="19"/>
        </w:rPr>
        <w:t xml:space="preserve">9절의 기준으로 제외가 발생하여 군당 16명에 미달할 경우, 같은 조건으로 추가 모집하여 16명을 채운다. 추가 모집은 군당 최대 4명까지로 하며, 그 이상은 이 문서를 개정한 뒤 진행한다.</w:t>
      </w:r>
    </w:p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데이터는 군별 목표 인원에 도달한 뒤에 열람한다. 수집 중 중간 분석은 실시하지 않는다.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 데이터 제외 기준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기준은 데이터를 열람하기 전에 확정한 것이며, 분석 결과에 따라 변경하지 않는다.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연구 참여에 동의하지 않은 응답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설문을 끝까지 완료하지 않은 응답(중도 이탈)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사후 문항에서 '집중하지 못했다'를 선택한 응답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사후 문항에서 외부 검색을 '여러 번 있다'로 응답한 경우. '한두 번 있다'는 포함하되, 이들을 제외한 민감도 분석을 함께 보고한다.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⑤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전체 응답 시간이 2분 미만인 경우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⑥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문항2·3·4의 모든 시행에서 동일한 값만 선택한 직선 응답</w:t>
      </w:r>
    </w:p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주 분석은 제외 적용 전과 후를 모두 보고한다. 두 결과가 다를 경우 그 차이를 본문에 기술한다.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10. 분석 계획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H1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군간 평균 정답 수(0–4)를 독립표본 t 검정으로 비교한다(α = .05, 양측). 보조 분석으로 각 군의 정답률이 우연 수준(50%)과 다른지 이항검정으로 확인한다.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H2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문항2를 자극물의 실제 지수로 예측하는 혼합효과 선형모형을 적합하고, 군 × 지수 상호작용항을 검정한다. 참여자를 임의효과로 둔다.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H3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어조 정합 조정 지수(7절)를 군간 독립표본 t 검정으로 비교한다. 매개 경로는 표본 크기상 정식 매개분석 대신 기술적으로만 제시한다.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H4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문항4와 시행 단위 정오의 대응을 군별로 산출하고, 혼합효과 로지스틱 모형에서 확신도 × 군 상호작용을 검정한다.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공변량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공변량(투자 경험, 연령대)은 주 분석에 포함하지 않고, 별도의 보조 모형에 투입하여 결과의 안정성을 확인한다.</w:t>
      </w:r>
    </w:p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H1 외의 검정은 모두 탐색적이며, 다중비교 보정을 적용하지 않는 대신 탐색적임을 결과 기술에 명시한다.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 검정력 및 한계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검정력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군당 16명, α = .05(양측), 검정력 .80 기준으로 검출 가능한 최소 효과크기는 Cohen's d ≈ 1.0이다. 이는 큰 효과에 해당하므로, 본 연구는 효과의 방향과 크기를 탐색하는 예비 연구로 위치시킨다.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H1의 성격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도표 자극물에는 '0 = 평소 수준 · 양수면 평소 회의보다 낙관'이라는 설명이 표시되어 있어, 도표군의 문항1 정답률은 천장에 가까울 것으로 예상된다. 따라서 H1은 조작 점검의 성격을 함께 가지며, 실질적 관심은 언론군의 정답률이 우연 수준에 머무는지 여부에 있다.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의향과 행동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측정하는 것은 투자 행동이 아니라 가정된 보유 비중에 대한 조정 의향이다.</w:t>
      </w:r>
    </w:p>
    <w:p>
      <w:pPr>
        <w:spacing w:after="40" w:before="0" w:line="264"/>
        <w:ind w:left="180" w:hanging="18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일반화  </w:t>
      </w:r>
      <w:r>
        <w:rPr>
          <w:rFonts w:ascii="맑은 고딕" w:cs="맑은 고딕" w:eastAsia="맑은 고딕" w:hAnsi="맑은 고딕"/>
          <w:sz w:val="19"/>
          <w:szCs w:val="19"/>
        </w:rPr>
        <w:t xml:space="preserve">1회 노출, 통제된 환경에서의 판단이므로 실사용 환경으로의 일반화에는 제약이 있다.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 배포 전 미결 사항</w:t>
      </w:r>
    </w:p>
    <w:p>
      <w:pPr>
        <w:spacing w:after="80" w:before="0" w:line="264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아래는 이 문서 작성 시점에 확정되지 않은 사항이며, 데이터 수집 개시 전에 결정하여 13절에 기록한다.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제시 순서 — 현 순서(A→C→B→D)의 정답이 비관–낙관–비관–낙관 교대 배열이어서, 후반 시행에서 패턴 추론에 의한 응답이 가능하다. 교대가 아닌 배열로의 변경을 검토 중이다.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자극물 A의 시기 단서 — A(2021)에만 '코로나19'가 언급되어 어조가 아닌 시기 기억에 근거한 응답을 유발할 수 있다. A가 첫 시행이라 이후 시행으로 전이될 가능성도 있다.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 </w:t>
      </w:r>
      <w:r>
        <w:rPr>
          <w:rFonts w:ascii="맑은 고딕" w:cs="맑은 고딕" w:eastAsia="맑은 고딕" w:hAnsi="맑은 고딕"/>
          <w:sz w:val="19"/>
          <w:szCs w:val="19"/>
        </w:rPr>
        <w:t xml:space="preserve">Qualtrics 계정 — 현재 평가판으로 30일 후 만료되며 응답 수 상한이 있다. 수집 개시 전 기관 라이선스로 이관해야 한다.</w:t>
      </w:r>
    </w:p>
    <w:p>
      <w:pPr>
        <w:spacing w:after="40" w:before="0" w:line="264"/>
        <w:ind w:left="230" w:hanging="230"/>
        <w:jc w:val="both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동의서 고지 항목 — 수집 항목에 '참가자 번호'를 추가해야 한다.</w:t>
      </w:r>
    </w:p>
    <w:p>
      <w:pPr>
        <w:pStyle w:val="Heading1"/>
        <w:pBdr>
          <w:bottom w:val="single" w:color="BFBFBF" w:sz="6" w:space="3"/>
        </w:pBdr>
        <w:spacing w:after="100" w:before="260" w:line="264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13. 변경 이력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1700"/>
        <w:gridCol w:w="6746"/>
      </w:tblGrid>
      <w:tr>
        <w:trPr>
          <w:tblHeader/>
        </w:trPr>
        <w:tc>
          <w:tcPr>
            <w:tcW w:type="dxa" w:w="13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버전</w:t>
            </w:r>
          </w:p>
        </w:tc>
        <w:tc>
          <w:tcPr>
            <w:tcW w:type="dxa" w:w="1700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일자</w:t>
            </w:r>
          </w:p>
        </w:tc>
        <w:tc>
          <w:tcPr>
            <w:tcW w:type="dxa" w:w="6746"/>
            <w:shd w:fill="EDF2F7" w:color="auto" w:val="clear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변경 내용 및 사유</w:t>
            </w:r>
          </w:p>
        </w:tc>
      </w:tr>
      <w:tr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v1.0</w:t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2026-09-20</w:t>
            </w:r>
          </w:p>
        </w:tc>
        <w:tc>
          <w:tcPr>
            <w:tcW w:type="dxa" w:w="67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최초 작성. 데이터 수집 개시 전.</w:t>
            </w:r>
          </w:p>
        </w:tc>
      </w:tr>
      <w:tr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7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7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746"/>
            <w:tcMar>
              <w:top w:type="dxa" w:w="46"/>
              <w:left w:type="dxa" w:w="90"/>
              <w:bottom w:type="dxa" w:w="46"/>
              <w:right w:type="dxa" w:w="90"/>
            </w:tcMar>
          </w:tcPr>
          <w:p>
            <w:pPr>
              <w:spacing w:after="0" w:line="23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4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데이터 수집 개시 이후의 모든 설계·분석 변경은 이 표에 일자와 사유를 함께 기록한다.</w:t>
      </w:r>
    </w:p>
    <w:sectPr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2026-09-20T12:40:00.167Z</dcterms:created>
  <dcterms:modified xsi:type="dcterms:W3CDTF">2026-09-20T12:40:00.179Z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