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None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dgdsgsfhg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None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None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None, None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None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None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None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, None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None</w:t>
            </w:r>
          </w:p>
          <w:p>
            <w:pPr>
              <w:pStyle w:val="Body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dgdsgsfhg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None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None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/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1"/>
      <w:bookmarkEnd w:id="1"/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Fonts w:ascii="Times New Roman" w:hAnsi="Times New Roman"/>
          <w:sz w:val="24"/>
          <w:szCs w:val="24"/>
          <w:rtl w:val="0"/>
        </w:rPr>
        <w:t>.1.3.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p>
      <w:pPr>
        <w:pStyle w:val="Body"/>
        <w:spacing w:after="0" w:line="240" w:lineRule="auto"/>
        <w:ind w:firstLine="709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3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3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2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680" w:hanging="3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