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{{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court}}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>{{first_person_full_name}}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{{first_person_tin}}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{{first_person_zipcode}}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{{first_person_cities}}, {{first_person_street}}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{{first_person_phone_number}}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{{second_person_full_name}}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>{{second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_person_tin}}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{{second_person_zipcode}}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{{second_person_cities}}, {{second_person_street}}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second_person_phone_number}}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648" w:hanging="648"/>
        <w:jc w:val="center"/>
      </w:pPr>
    </w:p>
    <w:p>
      <w:pPr>
        <w:pStyle w:val="Body B"/>
        <w:widowControl w:val="0"/>
        <w:ind w:left="540" w:hanging="540"/>
        <w:jc w:val="center"/>
      </w:pPr>
    </w:p>
    <w:p>
      <w:pPr>
        <w:pStyle w:val="Body B A"/>
        <w:widowControl w:val="0"/>
        <w:ind w:left="432" w:hanging="432"/>
        <w:jc w:val="center"/>
      </w:pPr>
    </w:p>
    <w:p>
      <w:pPr>
        <w:pStyle w:val="Body B A A"/>
        <w:widowControl w:val="0"/>
        <w:ind w:left="324" w:hanging="324"/>
        <w:jc w:val="center"/>
      </w:pPr>
    </w:p>
    <w:p>
      <w:pPr>
        <w:pStyle w:val="Body B A A A"/>
        <w:widowControl w:val="0"/>
        <w:ind w:left="216" w:hanging="216"/>
        <w:jc w:val="center"/>
      </w:pPr>
    </w:p>
    <w:p>
      <w:pPr>
        <w:pStyle w:val="Body B A A A A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{{first_person_full_name}</w:t>
      </w:r>
      <w:r>
        <w:rPr>
          <w:b w:val="1"/>
          <w:bCs w:val="1"/>
          <w:rtl w:val="0"/>
          <w:lang w:val="en-US"/>
        </w:rPr>
        <w:t>}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b w:val="1"/>
          <w:bCs w:val="1"/>
          <w:i w:val="1"/>
          <w:iCs w:val="1"/>
          <w:rtl w:val="0"/>
          <w:lang w:val="en-US"/>
        </w:rPr>
        <w:t>second_person_full_name}}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b w:val="1"/>
          <w:bCs w:val="1"/>
          <w:i w:val="1"/>
          <w:iCs w:val="1"/>
          <w:rtl w:val="0"/>
          <w:lang w:val="en-US"/>
        </w:rPr>
        <w:t>parting_period}}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{{c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hild_full_name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{{foreigner}}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"http://search.ligazakon.ua/l_doc2.nsf/link1/an_334/ed_2019_10_03/pravo1/T052709.html?pravo=1%252525252523334"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first_person_full_name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}}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{{second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_person_full_name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}}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{{image_first_person_passport_pass}}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{{image_first_person_tin_pass}}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{{image_first_person_residence_certificate_pass}}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mage_copy_of_marriage_certificate_pass}}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cs="Times New Roman" w:hAnsi="Times New Roman" w:eastAsia="Times New Roman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