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31.png" ContentType="image/png"/>
  <Override PartName="/word/media/rId4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Perennial Pepperweed Mapping</w:t>
      </w:r>
    </w:p>
    <w:p>
      <w:pPr>
        <w:pStyle w:val="Subtitle"/>
      </w:pPr>
      <w:r>
        <w:t xml:space="preserve">Noxious Weeds Monitoring 2025-2026 LORP Workplan</w:t>
      </w:r>
    </w:p>
    <w:p>
      <w:pPr>
        <w:pStyle w:val="Date"/>
      </w:pPr>
      <w:r>
        <w:t xml:space="preserve">2025-09-18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summary"/>
    <w:p>
      <w:pPr>
        <w:pStyle w:val="Titre1"/>
      </w:pPr>
      <w:r>
        <w:t xml:space="preserve">1. Summary</w:t>
      </w:r>
    </w:p>
    <w:p>
      <w:pPr>
        <w:pStyle w:val="FirstParagraph"/>
      </w:pPr>
      <w:r>
        <w:t xml:space="preserve">This data report covers the monitoring of</w:t>
      </w:r>
      <w:r>
        <w:t xml:space="preserve"> </w:t>
      </w:r>
      <w:r>
        <w:rPr>
          <w:b/>
          <w:bCs/>
        </w:rPr>
        <w:t xml:space="preserve">Lepidium latifolium</w:t>
      </w:r>
      <w:r>
        <w:t xml:space="preserve"> </w:t>
      </w:r>
      <w:r>
        <w:t xml:space="preserve">(perennial pepperweed) in the Lower Owens River Project (LORP) area from 2018 to 2025. The data is sourced from the</w:t>
      </w:r>
      <w:r>
        <w:t xml:space="preserve"> </w:t>
      </w:r>
      <w:hyperlink r:id="rId20">
        <w:r>
          <w:rPr>
            <w:rStyle w:val="Hyperlink"/>
          </w:rPr>
          <w:t xml:space="preserve">ArcGIS Online Noxious Weeds 2025 feature service</w:t>
        </w:r>
      </w:hyperlink>
      <w:r>
        <w:t xml:space="preserve"> </w:t>
      </w:r>
      <w:r>
        <w:t xml:space="preserve">and provides updated spatial occurrence as of 2025.</w:t>
      </w:r>
    </w:p>
    <w:p>
      <w:pPr>
        <w:pStyle w:val="BlockText"/>
      </w:pPr>
      <w:r>
        <w:t xml:space="preserve">“Perennial pepperweed (Lepidium latifolium), an introduced plant from southeastern Europe and Asia, is invasive throughout the western United States. It can establish in a wide range of environments and is a common problem in flood plains, irrigation structures, pastures, wetlands, riparian areas, roadsides, and residential site. Recent surveys identify perennial pepperweed as a weed problem in nearly all of California, and both the California Department of Food and Agriculture (CDFA) and California Invasive Plant Council (Cal-IPC) list it as a noxious weed of great ecological concern.”</w:t>
      </w:r>
      <w:r>
        <w:t xml:space="preserve"> </w:t>
      </w:r>
      <w:r>
        <w:t xml:space="preserve">-</w:t>
      </w:r>
      <w:r>
        <w:t xml:space="preserve"> </w:t>
      </w:r>
      <w:hyperlink r:id="rId21">
        <w:r>
          <w:rPr>
            <w:rStyle w:val="Hyperlink"/>
          </w:rPr>
          <w:t xml:space="preserve">UC IPM</w:t>
        </w:r>
      </w:hyperlink>
    </w:p>
    <w:p>
      <w:pPr>
        <w:pStyle w:val="FirstParagraph"/>
      </w:pPr>
      <w:r>
        <w:rPr>
          <w:b/>
          <w:bCs/>
        </w:rPr>
        <w:t xml:space="preserve">California Invasive Plant Council (Cal-IPC) Rating: High</w:t>
      </w:r>
      <w:r>
        <w:br/>
      </w:r>
      <w:r>
        <w:t xml:space="preserve">High – These species have severe ecological impacts on physical processes, plant and animal communities, and vegetation structure. Their reproductive biology and other attributes are conducive to moderate to high rates of dispersal and establishment. Most are widely distributed ecologically.</w:t>
      </w:r>
    </w:p>
    <w:p>
      <w:pPr>
        <w:pStyle w:val="BodyText"/>
      </w:pPr>
      <w:r>
        <w:rPr>
          <w:b/>
          <w:bCs/>
        </w:rPr>
        <w:t xml:space="preserve">California Department of Food and Agriculture (CDFA) Rating: -</w:t>
      </w:r>
      <w:r>
        <w:t xml:space="preserve">*</w:t>
      </w:r>
      <w:r>
        <w:br/>
      </w:r>
      <w:r>
        <w:t xml:space="preserve">* – included in the CCR Section 4500 list of California State Noxious Weeds.</w:t>
      </w:r>
    </w:p>
    <w:p>
      <w:pPr>
        <w:pStyle w:val="SourceCode"/>
      </w:pPr>
      <w:r>
        <w:rPr>
          <w:rStyle w:val="VerbatimChar"/>
        </w:rPr>
        <w:t xml:space="preserve">LORP Area Filter Applied:</w:t>
      </w:r>
      <w:r>
        <w:br/>
      </w:r>
      <w:r>
        <w:rPr>
          <w:rStyle w:val="VerbatimChar"/>
        </w:rPr>
        <w:t xml:space="preserve">- Northernmost 2025 point latitude: 36.9747 °N</w:t>
      </w:r>
      <w:r>
        <w:br/>
      </w:r>
      <w:r>
        <w:rPr>
          <w:rStyle w:val="VerbatimChar"/>
        </w:rPr>
        <w:t xml:space="preserve">- Filtered dataset now contains 1647 observations</w:t>
      </w:r>
    </w:p>
    <w:bookmarkStart w:id="22" w:name="data-overview"/>
    <w:p>
      <w:pPr>
        <w:pStyle w:val="Titre2"/>
      </w:pPr>
      <w:r>
        <w:t xml:space="preserve">1.1 Data Overview</w:t>
      </w:r>
    </w:p>
    <w:p>
      <w:pPr>
        <w:pStyle w:val="FirstParagraph"/>
      </w:pPr>
      <w:r>
        <w:t xml:space="preserve">The dataset includes 1647 total observations across 8 years, with peak survey activity in 2025 (426 records).</w:t>
      </w:r>
    </w:p>
    <w:bookmarkEnd w:id="22"/>
    <w:bookmarkStart w:id="23" w:name="key-findings-summary"/>
    <w:p>
      <w:pPr>
        <w:pStyle w:val="Titre2"/>
      </w:pPr>
      <w:r>
        <w:t xml:space="preserve">1.2 Key Findings Summary</w:t>
      </w:r>
    </w:p>
    <w:p>
      <w:pPr>
        <w:pStyle w:val="Compact"/>
        <w:numPr>
          <w:ilvl w:val="0"/>
          <w:numId w:val="1001"/>
        </w:numPr>
      </w:pPr>
      <w:r>
        <w:rPr>
          <w:b/>
          <w:bCs/>
        </w:rPr>
        <w:t xml:space="preserve">Total Observations</w:t>
      </w:r>
      <w:r>
        <w:t xml:space="preserve">: 1647 records across all years (2018-2025)</w:t>
      </w:r>
    </w:p>
    <w:p>
      <w:pPr>
        <w:pStyle w:val="Compact"/>
        <w:numPr>
          <w:ilvl w:val="0"/>
          <w:numId w:val="1001"/>
        </w:numPr>
      </w:pPr>
      <w:r>
        <w:rPr>
          <w:b/>
          <w:bCs/>
        </w:rPr>
        <w:t xml:space="preserve">Peak Survey Year</w:t>
      </w:r>
      <w:r>
        <w:t xml:space="preserve">: 2025 with 426 observations</w:t>
      </w:r>
    </w:p>
    <w:p>
      <w:pPr>
        <w:pStyle w:val="Compact"/>
        <w:numPr>
          <w:ilvl w:val="0"/>
          <w:numId w:val="1001"/>
        </w:numPr>
      </w:pPr>
      <w:r>
        <w:rPr>
          <w:b/>
          <w:bCs/>
        </w:rPr>
        <w:t xml:space="preserve">Recent Activity</w:t>
      </w:r>
      <w:r>
        <w:t xml:space="preserve">: 852 observations in 2022-2025</w:t>
      </w:r>
    </w:p>
    <w:p>
      <w:pPr>
        <w:pStyle w:val="Compact"/>
        <w:numPr>
          <w:ilvl w:val="0"/>
          <w:numId w:val="1001"/>
        </w:numPr>
      </w:pPr>
      <w:r>
        <w:rPr>
          <w:b/>
          <w:bCs/>
        </w:rPr>
        <w:t xml:space="preserve">Historical Baseline</w:t>
      </w:r>
      <w:r>
        <w:t xml:space="preserve">: 795 observations in 2018-2021</w:t>
      </w:r>
    </w:p>
    <w:p>
      <w:pPr>
        <w:pStyle w:val="Compact"/>
        <w:numPr>
          <w:ilvl w:val="0"/>
          <w:numId w:val="1001"/>
        </w:numPr>
      </w:pPr>
      <w:r>
        <w:rPr>
          <w:b/>
          <w:bCs/>
        </w:rPr>
        <w:t xml:space="preserve">Data Coverage</w:t>
      </w:r>
      <w:r>
        <w:t xml:space="preserve">: 100% of records have complete date information (using observation date with creation date fallback)</w:t>
      </w:r>
    </w:p>
    <w:bookmarkEnd w:id="23"/>
    <w:bookmarkEnd w:id="24"/>
    <w:bookmarkStart w:id="36" w:name="interactive-map-comparison"/>
    <w:p>
      <w:pPr>
        <w:pStyle w:val="Titre1"/>
      </w:pPr>
      <w:r>
        <w:t xml:space="preserve">2. Interactive Map Comparison</w:t>
      </w:r>
    </w:p>
    <w:p>
      <w:pPr>
        <w:pStyle w:val="FirstParagraph"/>
      </w:pPr>
      <w:r>
        <w:t xml:space="preserve">The following interactive map shows pepperweed populations across all years (2018-2025). Use the layer controls in the top-right corner to toggle between different years. The map includes all 1647 documented observations, with feature creation dates used when observation dates are unavailable.</w:t>
      </w:r>
    </w:p>
    <w:p>
      <w:pPr>
        <w:pStyle w:val="BodyText"/>
      </w:pPr>
      <w:r>
        <w:t xml:space="preserve">Data Downloads</w:t>
      </w:r>
    </w:p>
    <w:p>
      <w:pPr>
        <w:pStyle w:val="BodyText"/>
      </w:pPr>
      <w:r>
        <w:t xml:space="preserve">📊 Download GeoJSON</w:t>
      </w:r>
      <w:r>
        <w:t xml:space="preserve"> </w:t>
      </w:r>
      <w:r>
        <w:t xml:space="preserve">🌍 Download KML</w:t>
      </w:r>
    </w:p>
    <w:p>
      <w:pPr>
        <w:pStyle w:val="BodyText"/>
      </w:pPr>
      <w:r>
        <w:t xml:space="preserve">Complete dataset with all 1647 pepperweed observations</w:t>
      </w:r>
    </w:p>
    <w:p>
      <w:pPr>
        <w:pStyle w:val="BodyText"/>
      </w:pPr>
      <w:r>
        <w:t xml:space="preserve">Study Area Boundaries</w:t>
      </w:r>
    </w:p>
    <w:p>
      <w:pPr>
        <w:pStyle w:val="BodyText"/>
      </w:pPr>
      <w:r>
        <w:t xml:space="preserve">North</w:t>
      </w:r>
      <w:r>
        <w:t xml:space="preserve">: 36.9747°N</w:t>
      </w:r>
    </w:p>
    <w:p>
      <w:pPr>
        <w:pStyle w:val="BodyText"/>
      </w:pPr>
      <w:r>
        <w:t xml:space="preserve">South</w:t>
      </w:r>
      <w:r>
        <w:t xml:space="preserve">: 36.5478°N</w:t>
      </w:r>
    </w:p>
    <w:p>
      <w:pPr>
        <w:pStyle w:val="BodyText"/>
      </w:pPr>
      <w:r>
        <w:t xml:space="preserve">East</w:t>
      </w:r>
      <w:r>
        <w:t xml:space="preserve">: -117.981°W</w:t>
      </w:r>
    </w:p>
    <w:p>
      <w:pPr>
        <w:pStyle w:val="BodyText"/>
      </w:pPr>
      <w:r>
        <w:t xml:space="preserve">West</w:t>
      </w:r>
      <w:r>
        <w:t xml:space="preserve">: -118.2343°W</w:t>
      </w:r>
    </w:p>
    <w:p>
      <w:pPr>
        <w:pStyle w:val="BodyText"/>
      </w:pPr>
      <w:r>
        <w:t xml:space="preserve">Center</w:t>
      </w:r>
      <w:r>
        <w:t xml:space="preserve">: 36.7612°N, -118.1077°W</w:t>
      </w:r>
    </w:p>
    <w:p>
      <w:pPr>
        <w:pStyle w:val="SourceCode"/>
      </w:pPr>
      <w:r>
        <w:rPr>
          <w:rStyle w:val="VerbatimChar"/>
        </w:rPr>
        <w:t xml:space="preserve">Re-reading with feature count reset from 1 to 0</w:t>
      </w:r>
    </w:p>
    <w:p>
      <w:pPr>
        <w:pStyle w:val="FirstParagraph"/>
      </w:pPr>
      <w:r>
        <w:drawing>
          <wp:inline>
            <wp:extent cx="5753100" cy="4602480"/>
            <wp:effectExtent b="0" l="0" r="0" t="0"/>
            <wp:docPr descr="" title="" id="26" name="Picture"/>
            <a:graphic>
              <a:graphicData uri="http://schemas.openxmlformats.org/drawingml/2006/picture">
                <pic:pic>
                  <pic:nvPicPr>
                    <pic:cNvPr descr="index_files/figure-docx/interactive-map-1.png" id="27" name="Picture"/>
                    <pic:cNvPicPr>
                      <a:picLocks noChangeArrowheads="1" noChangeAspect="1"/>
                    </pic:cNvPicPr>
                  </pic:nvPicPr>
                  <pic:blipFill>
                    <a:blip r:embed="rId25"/>
                    <a:stretch>
                      <a:fillRect/>
                    </a:stretch>
                  </pic:blipFill>
                  <pic:spPr bwMode="auto">
                    <a:xfrm>
                      <a:off x="0" y="0"/>
                      <a:ext cx="5753100" cy="4602480"/>
                    </a:xfrm>
                    <a:prstGeom prst="rect">
                      <a:avLst/>
                    </a:prstGeom>
                    <a:noFill/>
                    <a:ln w="9525">
                      <a:noFill/>
                      <a:headEnd/>
                      <a:tailEnd/>
                    </a:ln>
                  </pic:spPr>
                </pic:pic>
              </a:graphicData>
            </a:graphic>
          </wp:inline>
        </w:drawing>
      </w:r>
    </w:p>
    <w:bookmarkStart w:id="35" w:name="Xd40d32226b991a08ba3c97a575220c73c46cde8"/>
    <w:p>
      <w:pPr>
        <w:pStyle w:val="Titre2"/>
      </w:pPr>
      <w:r>
        <w:t xml:space="preserve">2.1 2025 Distribution - plants per site estimated from field observations</w:t>
      </w:r>
    </w:p>
    <w:p>
      <w:pPr>
        <w:pStyle w:val="FirstParagraph"/>
      </w:pPr>
      <w:r>
        <w:t xml:space="preserve">The following histogram shows the distribution of abundance values for all pepperweed point locations documented in 2025:</w:t>
      </w:r>
    </w:p>
    <w:p>
      <w:pPr>
        <w:pStyle w:val="BodyText"/>
      </w:pPr>
      <w:r>
        <w:drawing>
          <wp:inline>
            <wp:extent cx="5753100" cy="4602480"/>
            <wp:effectExtent b="0" l="0" r="0" t="0"/>
            <wp:docPr descr="" title="" id="29" name="Picture"/>
            <a:graphic>
              <a:graphicData uri="http://schemas.openxmlformats.org/drawingml/2006/picture">
                <pic:pic>
                  <pic:nvPicPr>
                    <pic:cNvPr descr="index_files/figure-docx/abundance-histogram-1.png" id="30" name="Picture"/>
                    <pic:cNvPicPr>
                      <a:picLocks noChangeArrowheads="1" noChangeAspect="1"/>
                    </pic:cNvPicPr>
                  </pic:nvPicPr>
                  <pic:blipFill>
                    <a:blip r:embed="rId28"/>
                    <a:stretch>
                      <a:fillRect/>
                    </a:stretch>
                  </pic:blipFill>
                  <pic:spPr bwMode="auto">
                    <a:xfrm>
                      <a:off x="0" y="0"/>
                      <a:ext cx="5753100" cy="4602480"/>
                    </a:xfrm>
                    <a:prstGeom prst="rect">
                      <a:avLst/>
                    </a:prstGeom>
                    <a:noFill/>
                    <a:ln w="9525">
                      <a:noFill/>
                      <a:headEnd/>
                      <a:tailEnd/>
                    </a:ln>
                  </pic:spPr>
                </pic:pic>
              </a:graphicData>
            </a:graphic>
          </wp:inline>
        </w:drawing>
      </w:r>
    </w:p>
    <w:p>
      <w:pPr>
        <w:pStyle w:val="SourceCode"/>
      </w:pPr>
      <w:r>
        <w:rPr>
          <w:rStyle w:val="VerbatimChar"/>
        </w:rPr>
        <w:t xml:space="preserve">### 2025 Site Distribution</w:t>
      </w:r>
      <w:r>
        <w:br/>
      </w:r>
      <w:r>
        <w:rPr>
          <w:rStyle w:val="VerbatimChar"/>
        </w:rPr>
        <w:t xml:space="preserve">- **Total Sites**: 426 </w:t>
      </w:r>
      <w:r>
        <w:br/>
      </w:r>
      <w:r>
        <w:rPr>
          <w:rStyle w:val="VerbatimChar"/>
        </w:rPr>
        <w:t xml:space="preserve">- **Small Sites (≤ 100 plants)**: 325 sites ( 76.3 %)</w:t>
      </w:r>
      <w:r>
        <w:br/>
      </w:r>
      <w:r>
        <w:rPr>
          <w:rStyle w:val="VerbatimChar"/>
        </w:rPr>
        <w:t xml:space="preserve">- **Large Sites (&gt; 100 plants)**: 99 sites ( 23.2 %)</w:t>
      </w:r>
      <w:r>
        <w:br/>
      </w:r>
      <w:r>
        <w:br/>
      </w:r>
      <w:r>
        <w:rPr>
          <w:rStyle w:val="VerbatimChar"/>
        </w:rPr>
        <w:t xml:space="preserve">### Detailed Abundance Distribution</w:t>
      </w:r>
      <w:r>
        <w:br/>
      </w:r>
      <w:r>
        <w:rPr>
          <w:rStyle w:val="VerbatimChar"/>
        </w:rPr>
        <w:t xml:space="preserve">- **1 plants**: 57 sites</w:t>
      </w:r>
      <w:r>
        <w:br/>
      </w:r>
      <w:r>
        <w:rPr>
          <w:rStyle w:val="VerbatimChar"/>
        </w:rPr>
        <w:t xml:space="preserve">- **2 plants**: 135 sites</w:t>
      </w:r>
      <w:r>
        <w:br/>
      </w:r>
      <w:r>
        <w:rPr>
          <w:rStyle w:val="VerbatimChar"/>
        </w:rPr>
        <w:t xml:space="preserve">- **4 plants**: 133 sites</w:t>
      </w:r>
      <w:r>
        <w:br/>
      </w:r>
      <w:r>
        <w:rPr>
          <w:rStyle w:val="VerbatimChar"/>
        </w:rPr>
        <w:t xml:space="preserve">- **5 plants**: 99 sites</w:t>
      </w:r>
      <w:r>
        <w:br/>
      </w:r>
      <w:r>
        <w:br/>
      </w:r>
      <w:r>
        <w:rPr>
          <w:rStyle w:val="VerbatimChar"/>
        </w:rPr>
        <w:t xml:space="preserve">### Abundance Range</w:t>
      </w:r>
      <w:r>
        <w:br/>
      </w:r>
      <w:r>
        <w:rPr>
          <w:rStyle w:val="VerbatimChar"/>
        </w:rPr>
        <w:t xml:space="preserve">- **Minimum**: 5 plants</w:t>
      </w:r>
      <w:r>
        <w:br/>
      </w:r>
      <w:r>
        <w:rPr>
          <w:rStyle w:val="VerbatimChar"/>
        </w:rPr>
        <w:t xml:space="preserve">- **Maximum**: 200 plants</w:t>
      </w:r>
    </w:p>
    <w:p>
      <w:pPr>
        <w:pStyle w:val="FirstParagraph"/>
      </w:pPr>
      <w:r>
        <w:t xml:space="preserve">The interactive map above provides the primary visualization of pepperweed distribution patterns.</w:t>
      </w:r>
    </w:p>
    <w:bookmarkStart w:id="34" w:name="recent-sites"/>
    <w:p>
      <w:pPr>
        <w:pStyle w:val="Titre3"/>
      </w:pPr>
      <w:r>
        <w:t xml:space="preserve">2.1.1 Recent Sites</w:t>
      </w:r>
    </w:p>
    <w:p>
      <w:pPr>
        <w:pStyle w:val="FirstParagraph"/>
      </w:pPr>
      <w:r>
        <w:drawing>
          <wp:inline>
            <wp:extent cx="5753100" cy="17822624"/>
            <wp:effectExtent b="0" l="0" r="0" t="0"/>
            <wp:docPr descr="" title="" id="32" name="Picture"/>
            <a:graphic>
              <a:graphicData uri="http://schemas.openxmlformats.org/drawingml/2006/picture">
                <pic:pic>
                  <pic:nvPicPr>
                    <pic:cNvPr descr="index_files/figure-docx/new-sites-1.png" id="33" name="Picture"/>
                    <pic:cNvPicPr>
                      <a:picLocks noChangeArrowheads="1" noChangeAspect="1"/>
                    </pic:cNvPicPr>
                  </pic:nvPicPr>
                  <pic:blipFill>
                    <a:blip r:embed="rId31"/>
                    <a:stretch>
                      <a:fillRect/>
                    </a:stretch>
                  </pic:blipFill>
                  <pic:spPr bwMode="auto">
                    <a:xfrm>
                      <a:off x="0" y="0"/>
                      <a:ext cx="5753100" cy="17822624"/>
                    </a:xfrm>
                    <a:prstGeom prst="rect">
                      <a:avLst/>
                    </a:prstGeom>
                    <a:noFill/>
                    <a:ln w="9525">
                      <a:noFill/>
                      <a:headEnd/>
                      <a:tailEnd/>
                    </a:ln>
                  </pic:spPr>
                </pic:pic>
              </a:graphicData>
            </a:graphic>
          </wp:inline>
        </w:drawing>
      </w:r>
    </w:p>
    <w:bookmarkEnd w:id="34"/>
    <w:bookmarkEnd w:id="35"/>
    <w:bookmarkEnd w:id="36"/>
    <w:bookmarkStart w:id="39" w:name="data-quality-and-limitations"/>
    <w:p>
      <w:pPr>
        <w:pStyle w:val="Titre1"/>
      </w:pPr>
      <w:r>
        <w:t xml:space="preserve">3. Data Quality and Limitations</w:t>
      </w:r>
    </w:p>
    <w:bookmarkStart w:id="37" w:name="data-sources"/>
    <w:p>
      <w:pPr>
        <w:pStyle w:val="Titre2"/>
      </w:pPr>
      <w:r>
        <w:t xml:space="preserve">3.1 Data Sources</w:t>
      </w:r>
    </w:p>
    <w:p>
      <w:pPr>
        <w:numPr>
          <w:ilvl w:val="0"/>
          <w:numId w:val="1002"/>
        </w:numPr>
      </w:pPr>
      <w:r>
        <w:rPr>
          <w:b/>
          <w:bCs/>
        </w:rPr>
        <w:t xml:space="preserve">Primary Source</w:t>
      </w:r>
      <w:r>
        <w:t xml:space="preserve">:</w:t>
      </w:r>
      <w:r>
        <w:t xml:space="preserve"> </w:t>
      </w:r>
      <w:hyperlink r:id="rId20">
        <w:r>
          <w:rPr>
            <w:rStyle w:val="Hyperlink"/>
          </w:rPr>
          <w:t xml:space="preserve">ArcGIS Online Noxious Weeds 2025 Feature Service</w:t>
        </w:r>
      </w:hyperlink>
    </w:p>
    <w:p>
      <w:pPr>
        <w:numPr>
          <w:ilvl w:val="0"/>
          <w:numId w:val="1002"/>
        </w:numPr>
      </w:pPr>
      <w:r>
        <w:rPr>
          <w:b/>
          <w:bCs/>
        </w:rPr>
        <w:t xml:space="preserve">Last Updated</w:t>
      </w:r>
      <w:r>
        <w:t xml:space="preserve">: August 11, 2025</w:t>
      </w:r>
    </w:p>
    <w:p>
      <w:pPr>
        <w:numPr>
          <w:ilvl w:val="0"/>
          <w:numId w:val="1002"/>
        </w:numPr>
      </w:pPr>
      <w:r>
        <w:rPr>
          <w:b/>
          <w:bCs/>
        </w:rPr>
        <w:t xml:space="preserve">Coordinate System</w:t>
      </w:r>
      <w:r>
        <w:t xml:space="preserve">: WGS84 (EPSG:4326)</w:t>
      </w:r>
    </w:p>
    <w:bookmarkEnd w:id="37"/>
    <w:bookmarkStart w:id="38" w:name="limitations"/>
    <w:p>
      <w:pPr>
        <w:pStyle w:val="Titre2"/>
      </w:pPr>
      <w:r>
        <w:t xml:space="preserve">3.2 Limitations</w:t>
      </w:r>
    </w:p>
    <w:p>
      <w:pPr>
        <w:pStyle w:val="Compact"/>
        <w:numPr>
          <w:ilvl w:val="0"/>
          <w:numId w:val="1003"/>
        </w:numPr>
      </w:pPr>
      <w:r>
        <w:t xml:space="preserve">Data represents documented observations only</w:t>
      </w:r>
    </w:p>
    <w:p>
      <w:pPr>
        <w:pStyle w:val="Compact"/>
        <w:numPr>
          <w:ilvl w:val="0"/>
          <w:numId w:val="1003"/>
        </w:numPr>
      </w:pPr>
      <w:r>
        <w:t xml:space="preserve">Population estimates may vary based on survey timing and conditions</w:t>
      </w:r>
    </w:p>
    <w:p>
      <w:pPr>
        <w:pStyle w:val="Compact"/>
        <w:numPr>
          <w:ilvl w:val="0"/>
          <w:numId w:val="1003"/>
        </w:numPr>
      </w:pPr>
      <w:r>
        <w:t xml:space="preserve">Some areas may be under-sampled due to access constraints</w:t>
      </w:r>
    </w:p>
    <w:p>
      <w:pPr>
        <w:pStyle w:val="Compact"/>
        <w:numPr>
          <w:ilvl w:val="0"/>
          <w:numId w:val="1003"/>
        </w:numPr>
      </w:pPr>
      <w:r>
        <w:t xml:space="preserve">Abundance categories are based on field estimates</w:t>
      </w:r>
    </w:p>
    <w:bookmarkEnd w:id="38"/>
    <w:bookmarkEnd w:id="39"/>
    <w:bookmarkStart w:id="43" w:name="river-reach-analysis"/>
    <w:p>
      <w:pPr>
        <w:pStyle w:val="Titre1"/>
      </w:pPr>
      <w:r>
        <w:t xml:space="preserve">4. River Reach Analysis</w:t>
      </w:r>
    </w:p>
    <w:p>
      <w:pPr>
        <w:pStyle w:val="FirstParagraph"/>
      </w:pPr>
      <w:r>
        <w:drawing>
          <wp:inline>
            <wp:extent cx="5753100" cy="3595687"/>
            <wp:effectExtent b="0" l="0" r="0" t="0"/>
            <wp:docPr descr="" title="" id="41" name="Picture"/>
            <a:graphic>
              <a:graphicData uri="http://schemas.openxmlformats.org/drawingml/2006/picture">
                <pic:pic>
                  <pic:nvPicPr>
                    <pic:cNvPr descr="index_files/figure-docx/river-reach-analysis-1.png" id="42" name="Picture"/>
                    <pic:cNvPicPr>
                      <a:picLocks noChangeArrowheads="1" noChangeAspect="1"/>
                    </pic:cNvPicPr>
                  </pic:nvPicPr>
                  <pic:blipFill>
                    <a:blip r:embed="rId40"/>
                    <a:stretch>
                      <a:fillRect/>
                    </a:stretch>
                  </pic:blipFill>
                  <pic:spPr bwMode="auto">
                    <a:xfrm>
                      <a:off x="0" y="0"/>
                      <a:ext cx="5753100" cy="3595687"/>
                    </a:xfrm>
                    <a:prstGeom prst="rect">
                      <a:avLst/>
                    </a:prstGeom>
                    <a:noFill/>
                    <a:ln w="9525">
                      <a:noFill/>
                      <a:headEnd/>
                      <a:tailEnd/>
                    </a:ln>
                  </pic:spPr>
                </pic:pic>
              </a:graphicData>
            </a:graphic>
          </wp:inline>
        </w:drawing>
      </w:r>
    </w:p>
    <w:p>
      <w:pPr>
        <w:pStyle w:val="SourceCode"/>
      </w:pPr>
      <w:r>
        <w:rPr>
          <w:rStyle w:val="VerbatimChar"/>
        </w:rPr>
        <w:t xml:space="preserve">### LORP Reach Distribution Summary</w:t>
      </w:r>
      <w:r>
        <w:br/>
      </w:r>
      <w:r>
        <w:rPr>
          <w:rStyle w:val="VerbatimChar"/>
        </w:rPr>
        <w:t xml:space="preserve">**Total Reaches Analyzed**: 6 </w:t>
      </w:r>
      <w:r>
        <w:br/>
      </w:r>
      <w:r>
        <w:rPr>
          <w:rStyle w:val="VerbatimChar"/>
        </w:rPr>
        <w:t xml:space="preserve">**Years Covered**: 2018 - 2025 </w:t>
      </w:r>
      <w:r>
        <w:br/>
      </w:r>
      <w:r>
        <w:rPr>
          <w:rStyle w:val="VerbatimChar"/>
        </w:rPr>
        <w:t xml:space="preserve">**Reaches with Data**: 6 </w:t>
      </w:r>
      <w:r>
        <w:br/>
      </w:r>
      <w:r>
        <w:br/>
      </w:r>
      <w:r>
        <w:rPr>
          <w:rStyle w:val="VerbatimChar"/>
        </w:rPr>
        <w:t xml:space="preserve">### Reach Activity Summary</w:t>
      </w:r>
      <w:r>
        <w:br/>
      </w:r>
      <w:r>
        <w:rPr>
          <w:rStyle w:val="VerbatimChar"/>
        </w:rPr>
        <w:t xml:space="preserve">- ** LORP Reach 2 **: 567 sites</w:t>
      </w:r>
      <w:r>
        <w:br/>
      </w:r>
      <w:r>
        <w:rPr>
          <w:rStyle w:val="VerbatimChar"/>
        </w:rPr>
        <w:t xml:space="preserve">- ** LORP Reach 3 **: 420 sites</w:t>
      </w:r>
      <w:r>
        <w:br/>
      </w:r>
      <w:r>
        <w:rPr>
          <w:rStyle w:val="VerbatimChar"/>
        </w:rPr>
        <w:t xml:space="preserve">- ** LORP Reach 1 **: 162 sites</w:t>
      </w:r>
      <w:r>
        <w:br/>
      </w:r>
      <w:r>
        <w:rPr>
          <w:rStyle w:val="VerbatimChar"/>
        </w:rPr>
        <w:t xml:space="preserve">- ** LORP Reach 4 **: 48 sites</w:t>
      </w:r>
      <w:r>
        <w:br/>
      </w:r>
      <w:r>
        <w:rPr>
          <w:rStyle w:val="VerbatimChar"/>
        </w:rPr>
        <w:t xml:space="preserve">- ** LORP Reach 5 **: 12 sites</w:t>
      </w:r>
      <w:r>
        <w:br/>
      </w:r>
      <w:r>
        <w:rPr>
          <w:rStyle w:val="VerbatimChar"/>
        </w:rPr>
        <w:t xml:space="preserve">- ** LORP Reach 6 **: 3 sites</w:t>
      </w:r>
      <w:r>
        <w:br/>
      </w:r>
      <w:r>
        <w:br/>
      </w:r>
      <w:r>
        <w:rPr>
          <w:rStyle w:val="VerbatimChar"/>
        </w:rPr>
        <w:t xml:space="preserve">### Sites Outside LORP Reaches</w:t>
      </w:r>
      <w:r>
        <w:br/>
      </w:r>
      <w:r>
        <w:rPr>
          <w:rStyle w:val="VerbatimChar"/>
        </w:rPr>
        <w:t xml:space="preserve">- **Sites outside reach polygons**: 435 </w:t>
      </w:r>
      <w:r>
        <w:br/>
      </w:r>
      <w:r>
        <w:rPr>
          <w:rStyle w:val="VerbatimChar"/>
        </w:rPr>
        <w:t xml:space="preserve">- **Percentage of total sites**: 26.4 %</w:t>
      </w:r>
    </w:p>
    <w:bookmarkEnd w:id="43"/>
    <w:bookmarkStart w:id="47" w:name="river-mile-analysis"/>
    <w:p>
      <w:pPr>
        <w:pStyle w:val="Titre1"/>
      </w:pPr>
      <w:r>
        <w:t xml:space="preserve">5. River Mile Analysis</w:t>
      </w:r>
    </w:p>
    <w:p>
      <w:pPr>
        <w:pStyle w:val="FirstParagraph"/>
      </w:pPr>
      <w:r>
        <w:drawing>
          <wp:inline>
            <wp:extent cx="5753100" cy="4314825"/>
            <wp:effectExtent b="0" l="0" r="0" t="0"/>
            <wp:docPr descr="" title="" id="45" name="Picture"/>
            <a:graphic>
              <a:graphicData uri="http://schemas.openxmlformats.org/drawingml/2006/picture">
                <pic:pic>
                  <pic:nvPicPr>
                    <pic:cNvPr descr="index_files/figure-docx/river-mile-analysis-1.png" id="46" name="Picture"/>
                    <pic:cNvPicPr>
                      <a:picLocks noChangeArrowheads="1" noChangeAspect="1"/>
                    </pic:cNvPicPr>
                  </pic:nvPicPr>
                  <pic:blipFill>
                    <a:blip r:embed="rId44"/>
                    <a:stretch>
                      <a:fillRect/>
                    </a:stretch>
                  </pic:blipFill>
                  <pic:spPr bwMode="auto">
                    <a:xfrm>
                      <a:off x="0" y="0"/>
                      <a:ext cx="5753100" cy="4314825"/>
                    </a:xfrm>
                    <a:prstGeom prst="rect">
                      <a:avLst/>
                    </a:prstGeom>
                    <a:noFill/>
                    <a:ln w="9525">
                      <a:noFill/>
                      <a:headEnd/>
                      <a:tailEnd/>
                    </a:ln>
                  </pic:spPr>
                </pic:pic>
              </a:graphicData>
            </a:graphic>
          </wp:inline>
        </w:drawing>
      </w:r>
    </w:p>
    <w:p>
      <w:pPr>
        <w:pStyle w:val="SourceCode"/>
      </w:pPr>
      <w:r>
        <w:rPr>
          <w:rStyle w:val="VerbatimChar"/>
        </w:rPr>
        <w:t xml:space="preserve">### River Mile Distribution Summary</w:t>
      </w:r>
      <w:r>
        <w:br/>
      </w:r>
      <w:r>
        <w:rPr>
          <w:rStyle w:val="VerbatimChar"/>
        </w:rPr>
        <w:t xml:space="preserve">**Total River Miles Analyzed**: 54 </w:t>
      </w:r>
      <w:r>
        <w:br/>
      </w:r>
      <w:r>
        <w:rPr>
          <w:rStyle w:val="VerbatimChar"/>
        </w:rPr>
        <w:t xml:space="preserve">**Years Covered**: 2018 - 2025 </w:t>
      </w:r>
      <w:r>
        <w:br/>
      </w:r>
      <w:r>
        <w:rPr>
          <w:rStyle w:val="VerbatimChar"/>
        </w:rPr>
        <w:t xml:space="preserve">**River Mile Range**: 0 - 53 </w:t>
      </w:r>
      <w:r>
        <w:br/>
      </w:r>
      <w:r>
        <w:br/>
      </w:r>
      <w:r>
        <w:rPr>
          <w:rStyle w:val="VerbatimChar"/>
        </w:rPr>
        <w:t xml:space="preserve">### Top 10 Most Active River Miles</w:t>
      </w:r>
      <w:r>
        <w:br/>
      </w:r>
      <w:r>
        <w:rPr>
          <w:rStyle w:val="VerbatimChar"/>
        </w:rPr>
        <w:t xml:space="preserve">- **River Mile 10 **: 269 sites</w:t>
      </w:r>
      <w:r>
        <w:br/>
      </w:r>
      <w:r>
        <w:rPr>
          <w:rStyle w:val="VerbatimChar"/>
        </w:rPr>
        <w:t xml:space="preserve">- **River Mile 4 **: 196 sites</w:t>
      </w:r>
      <w:r>
        <w:br/>
      </w:r>
      <w:r>
        <w:rPr>
          <w:rStyle w:val="VerbatimChar"/>
        </w:rPr>
        <w:t xml:space="preserve">- **River Mile 7 **: 157 sites</w:t>
      </w:r>
      <w:r>
        <w:br/>
      </w:r>
      <w:r>
        <w:rPr>
          <w:rStyle w:val="VerbatimChar"/>
        </w:rPr>
        <w:t xml:space="preserve">- **River Mile 5 **: 99 sites</w:t>
      </w:r>
      <w:r>
        <w:br/>
      </w:r>
      <w:r>
        <w:rPr>
          <w:rStyle w:val="VerbatimChar"/>
        </w:rPr>
        <w:t xml:space="preserve">- **River Mile 6 **: 94 sites</w:t>
      </w:r>
      <w:r>
        <w:br/>
      </w:r>
      <w:r>
        <w:rPr>
          <w:rStyle w:val="VerbatimChar"/>
        </w:rPr>
        <w:t xml:space="preserve">- **River Mile 28 **: 83 sites</w:t>
      </w:r>
      <w:r>
        <w:br/>
      </w:r>
      <w:r>
        <w:rPr>
          <w:rStyle w:val="VerbatimChar"/>
        </w:rPr>
        <w:t xml:space="preserve">- **River Mile 3 **: 77 sites</w:t>
      </w:r>
      <w:r>
        <w:br/>
      </w:r>
      <w:r>
        <w:rPr>
          <w:rStyle w:val="VerbatimChar"/>
        </w:rPr>
        <w:t xml:space="preserve">- **River Mile 30 **: 64 sites</w:t>
      </w:r>
      <w:r>
        <w:br/>
      </w:r>
      <w:r>
        <w:rPr>
          <w:rStyle w:val="VerbatimChar"/>
        </w:rPr>
        <w:t xml:space="preserve">- **River Mile 34 **: 59 sites</w:t>
      </w:r>
      <w:r>
        <w:br/>
      </w:r>
      <w:r>
        <w:rPr>
          <w:rStyle w:val="VerbatimChar"/>
        </w:rPr>
        <w:t xml:space="preserve">- **River Mile 29 **: 51 sites</w:t>
      </w:r>
    </w:p>
    <w:bookmarkEnd w:id="47"/>
    <w:bookmarkStart w:id="49" w:name="field-documentation"/>
    <w:p>
      <w:pPr>
        <w:pStyle w:val="Titre1"/>
      </w:pPr>
      <w:r>
        <w:t xml:space="preserve">6. Field Documentation</w:t>
      </w:r>
    </w:p>
    <w:bookmarkStart w:id="48" w:name="field-documentation-images"/>
    <w:p>
      <w:pPr>
        <w:pStyle w:val="Titre2"/>
      </w:pPr>
      <w:r>
        <w:t xml:space="preserve">6.1 Field Documentation Images</w:t>
      </w:r>
    </w:p>
    <w:p>
      <w:pPr>
        <w:pStyle w:val="FirstParagraph"/>
      </w:pPr>
      <w:r>
        <w:t xml:space="preserve">Pepperweed observations with field photos:</w:t>
      </w:r>
    </w:p>
    <w:p>
      <w:pPr>
        <w:pStyle w:val="BodyText"/>
      </w:pPr>
    </w:p>
    <w:p>
      <w:pPr>
        <w:pStyle w:val="BodyText"/>
      </w:pPr>
      <w:r>
        <w:t xml:space="preserve">Feature ID:</w:t>
      </w:r>
      <w:r>
        <w:t xml:space="preserve"> </w:t>
      </w:r>
      <w:r>
        <w:t xml:space="preserve">1369 |</w:t>
      </w:r>
      <w:r>
        <w:t xml:space="preserve"> </w:t>
      </w:r>
      <w:r>
        <w:t xml:space="preserve">Date:</w:t>
      </w:r>
      <w:r>
        <w:t xml:space="preserve"> </w:t>
      </w:r>
      <w:r>
        <w:t xml:space="preserve">2025-04-02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1370 |</w:t>
      </w:r>
      <w:r>
        <w:t xml:space="preserve"> </w:t>
      </w:r>
      <w:r>
        <w:t xml:space="preserve">Date:</w:t>
      </w:r>
      <w:r>
        <w:t xml:space="preserve"> </w:t>
      </w:r>
      <w:r>
        <w:t xml:space="preserve">2025-04-02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1371 |</w:t>
      </w:r>
      <w:r>
        <w:t xml:space="preserve"> </w:t>
      </w:r>
      <w:r>
        <w:t xml:space="preserve">Date:</w:t>
      </w:r>
      <w:r>
        <w:t xml:space="preserve"> </w:t>
      </w:r>
      <w:r>
        <w:t xml:space="preserve">2025-05-14 |</w:t>
      </w:r>
      <w:r>
        <w:t xml:space="preserve"> </w:t>
      </w:r>
      <w:r>
        <w:t xml:space="preserve">Abundance:</w:t>
      </w:r>
      <w:r>
        <w:t xml:space="preserve"> </w:t>
      </w:r>
      <w:r>
        <w:t xml:space="preserve">200 plants</w:t>
      </w:r>
    </w:p>
    <w:p>
      <w:pPr>
        <w:pStyle w:val="BodyText"/>
      </w:pPr>
      <w:r>
        <w:t xml:space="preserve">Notes:</w:t>
      </w:r>
      <w:r>
        <w:t xml:space="preserve"> </w:t>
      </w:r>
      <w:r>
        <w:t xml:space="preserve">Dense vegetative cluster around low ditch</w:t>
      </w:r>
    </w:p>
    <w:p>
      <w:pPr>
        <w:pStyle w:val="BodyText"/>
      </w:pPr>
    </w:p>
    <w:p>
      <w:pPr>
        <w:pStyle w:val="BodyText"/>
      </w:pPr>
      <w:r>
        <w:t xml:space="preserve">Feature ID:</w:t>
      </w:r>
      <w:r>
        <w:t xml:space="preserve"> </w:t>
      </w:r>
      <w:r>
        <w:t xml:space="preserve">1398 |</w:t>
      </w:r>
      <w:r>
        <w:t xml:space="preserve"> </w:t>
      </w:r>
      <w:r>
        <w:t xml:space="preserve">Date:</w:t>
      </w:r>
      <w:r>
        <w:t xml:space="preserve"> </w:t>
      </w:r>
      <w:r>
        <w:t xml:space="preserve">2025-07-30 |</w:t>
      </w:r>
      <w:r>
        <w:t xml:space="preserve"> </w:t>
      </w:r>
      <w:r>
        <w:t xml:space="preserve">Abundance:</w:t>
      </w:r>
      <w:r>
        <w:t xml:space="preserve"> </w:t>
      </w:r>
      <w:r>
        <w:t xml:space="preserve">200 plants</w:t>
      </w:r>
    </w:p>
    <w:p>
      <w:pPr>
        <w:pStyle w:val="BodyText"/>
      </w:pPr>
      <w:r>
        <w:t xml:space="preserve">Notes:</w:t>
      </w:r>
      <w:r>
        <w:t xml:space="preserve"> </w:t>
      </w:r>
      <w:r>
        <w:t xml:space="preserve">Among the tule next to the water, north of the willow</w:t>
      </w:r>
    </w:p>
    <w:p>
      <w:pPr>
        <w:pStyle w:val="BodyText"/>
      </w:pPr>
    </w:p>
    <w:p>
      <w:pPr>
        <w:pStyle w:val="BodyText"/>
      </w:pPr>
      <w:r>
        <w:t xml:space="preserve">Feature ID:</w:t>
      </w:r>
      <w:r>
        <w:t xml:space="preserve"> </w:t>
      </w:r>
      <w:r>
        <w:t xml:space="preserve">1401 |</w:t>
      </w:r>
      <w:r>
        <w:t xml:space="preserve"> </w:t>
      </w:r>
      <w:r>
        <w:t xml:space="preserve">Date:</w:t>
      </w:r>
      <w:r>
        <w:t xml:space="preserve"> </w:t>
      </w:r>
      <w:r>
        <w:t xml:space="preserve">2025-07-30 |</w:t>
      </w:r>
      <w:r>
        <w:t xml:space="preserve"> </w:t>
      </w:r>
      <w:r>
        <w:t xml:space="preserve">Abundance:</w:t>
      </w:r>
      <w:r>
        <w:t xml:space="preserve"> </w:t>
      </w:r>
      <w:r>
        <w:t xml:space="preserve">200 plants</w:t>
      </w:r>
    </w:p>
    <w:p>
      <w:pPr>
        <w:pStyle w:val="BodyText"/>
      </w:pPr>
      <w:r>
        <w:t xml:space="preserve">Notes:</w:t>
      </w:r>
      <w:r>
        <w:t xml:space="preserve"> </w:t>
      </w:r>
      <w:r>
        <w:t xml:space="preserve">Among tule next to water, south of willow</w:t>
      </w:r>
    </w:p>
    <w:p>
      <w:pPr>
        <w:pStyle w:val="BodyText"/>
      </w:pPr>
    </w:p>
    <w:p>
      <w:pPr>
        <w:pStyle w:val="BodyText"/>
      </w:pPr>
      <w:r>
        <w:t xml:space="preserve">Feature ID:</w:t>
      </w:r>
      <w:r>
        <w:t xml:space="preserve"> </w:t>
      </w:r>
      <w:r>
        <w:t xml:space="preserve">1465 |</w:t>
      </w:r>
      <w:r>
        <w:t xml:space="preserve"> </w:t>
      </w:r>
      <w:r>
        <w:t xml:space="preserve">Date:</w:t>
      </w:r>
      <w:r>
        <w:t xml:space="preserve"> </w:t>
      </w:r>
      <w:r>
        <w:t xml:space="preserve">2025-07-30 |</w:t>
      </w:r>
      <w:r>
        <w:t xml:space="preserve"> </w:t>
      </w:r>
      <w:r>
        <w:t xml:space="preserve">Abundance:</w:t>
      </w:r>
      <w:r>
        <w:t xml:space="preserve"> </w:t>
      </w:r>
      <w:r>
        <w:t xml:space="preserve">200 plants</w:t>
      </w:r>
    </w:p>
    <w:p>
      <w:pPr>
        <w:pStyle w:val="BodyText"/>
      </w:pPr>
      <w:r>
        <w:t xml:space="preserve">Notes:</w:t>
      </w:r>
      <w:r>
        <w:t xml:space="preserve"> </w:t>
      </w:r>
      <w:r>
        <w:t xml:space="preserve">W BAHY + SCAC</w:t>
      </w:r>
    </w:p>
    <w:p>
      <w:pPr>
        <w:pStyle w:val="BodyText"/>
      </w:pPr>
    </w:p>
    <w:p>
      <w:pPr>
        <w:pStyle w:val="BodyText"/>
      </w:pPr>
      <w:r>
        <w:t xml:space="preserve">Feature ID:</w:t>
      </w:r>
      <w:r>
        <w:t xml:space="preserve"> </w:t>
      </w:r>
      <w:r>
        <w:t xml:space="preserve">1467 |</w:t>
      </w:r>
      <w:r>
        <w:t xml:space="preserve"> </w:t>
      </w:r>
      <w:r>
        <w:t xml:space="preserve">Date:</w:t>
      </w:r>
      <w:r>
        <w:t xml:space="preserve"> </w:t>
      </w:r>
      <w:r>
        <w:t xml:space="preserve">2025-07-30 |</w:t>
      </w:r>
      <w:r>
        <w:t xml:space="preserve"> </w:t>
      </w:r>
      <w:r>
        <w:t xml:space="preserve">Abundance:</w:t>
      </w:r>
      <w:r>
        <w:t xml:space="preserve"> </w:t>
      </w:r>
      <w:r>
        <w:t xml:space="preserve">200 plants</w:t>
      </w:r>
    </w:p>
    <w:p>
      <w:pPr>
        <w:pStyle w:val="BodyText"/>
      </w:pPr>
      <w:r>
        <w:t xml:space="preserve">Notes:</w:t>
      </w:r>
      <w:r>
        <w:t xml:space="preserve"> </w:t>
      </w:r>
      <w:r>
        <w:t xml:space="preserve">10-15m south of rivers edge</w:t>
      </w:r>
    </w:p>
    <w:p>
      <w:pPr>
        <w:pStyle w:val="BodyText"/>
      </w:pPr>
    </w:p>
    <w:p>
      <w:pPr>
        <w:pStyle w:val="BodyText"/>
      </w:pPr>
      <w:r>
        <w:t xml:space="preserve">Feature ID:</w:t>
      </w:r>
      <w:r>
        <w:t xml:space="preserve"> </w:t>
      </w:r>
      <w:r>
        <w:t xml:space="preserve">1473 |</w:t>
      </w:r>
      <w:r>
        <w:t xml:space="preserve"> </w:t>
      </w:r>
      <w:r>
        <w:t xml:space="preserve">Date:</w:t>
      </w:r>
      <w:r>
        <w:t xml:space="preserve"> </w:t>
      </w:r>
      <w:r>
        <w:t xml:space="preserve">2025-07-30 |</w:t>
      </w:r>
      <w:r>
        <w:t xml:space="preserve"> </w:t>
      </w:r>
      <w:r>
        <w:t xml:space="preserve">Abundance:</w:t>
      </w:r>
      <w:r>
        <w:t xml:space="preserve"> </w:t>
      </w:r>
      <w:r>
        <w:t xml:space="preserve">200 plants</w:t>
      </w:r>
    </w:p>
    <w:p>
      <w:pPr>
        <w:pStyle w:val="BodyText"/>
      </w:pPr>
      <w:r>
        <w:t xml:space="preserve">Notes:</w:t>
      </w:r>
      <w:r>
        <w:t xml:space="preserve"> </w:t>
      </w:r>
      <w:r>
        <w:t xml:space="preserve">8-10m from waters edge; 12-15m long stretch of LELA bordering large TARA</w:t>
      </w:r>
    </w:p>
    <w:p>
      <w:pPr>
        <w:pStyle w:val="BodyText"/>
      </w:pPr>
    </w:p>
    <w:p>
      <w:pPr>
        <w:pStyle w:val="BodyText"/>
      </w:pPr>
      <w:r>
        <w:t xml:space="preserve">Feature ID:</w:t>
      </w:r>
      <w:r>
        <w:t xml:space="preserve"> </w:t>
      </w:r>
      <w:r>
        <w:t xml:space="preserve">1475 |</w:t>
      </w:r>
      <w:r>
        <w:t xml:space="preserve"> </w:t>
      </w:r>
      <w:r>
        <w:t xml:space="preserve">Date:</w:t>
      </w:r>
      <w:r>
        <w:t xml:space="preserve"> </w:t>
      </w:r>
      <w:r>
        <w:t xml:space="preserve">2025-07-30 |</w:t>
      </w:r>
      <w:r>
        <w:t xml:space="preserve"> </w:t>
      </w:r>
      <w:r>
        <w:t xml:space="preserve">Abundance:</w:t>
      </w:r>
      <w:r>
        <w:t xml:space="preserve"> </w:t>
      </w:r>
      <w:r>
        <w:t xml:space="preserve">200 plants</w:t>
      </w:r>
    </w:p>
    <w:p>
      <w:pPr>
        <w:pStyle w:val="BodyText"/>
      </w:pPr>
      <w:r>
        <w:t xml:space="preserve">Notes:</w:t>
      </w:r>
      <w:r>
        <w:t xml:space="preserve"> </w:t>
      </w:r>
      <w:r>
        <w:t xml:space="preserve">20m long stretch 2-5m from river, dense</w:t>
      </w:r>
    </w:p>
    <w:p>
      <w:pPr>
        <w:pStyle w:val="BodyText"/>
      </w:pPr>
    </w:p>
    <w:p>
      <w:pPr>
        <w:pStyle w:val="BodyText"/>
      </w:pPr>
      <w:r>
        <w:t xml:space="preserve">Feature ID:</w:t>
      </w:r>
      <w:r>
        <w:t xml:space="preserve"> </w:t>
      </w:r>
      <w:r>
        <w:t xml:space="preserve">1482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1485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r>
        <w:t xml:space="preserve">Notes:</w:t>
      </w:r>
      <w:r>
        <w:t xml:space="preserve"> </w:t>
      </w:r>
      <w:r>
        <w:t xml:space="preserve">W/ ASFA</w:t>
      </w:r>
    </w:p>
    <w:p>
      <w:pPr>
        <w:pStyle w:val="BodyText"/>
      </w:pPr>
    </w:p>
    <w:p>
      <w:pPr>
        <w:pStyle w:val="BodyText"/>
      </w:pPr>
      <w:r>
        <w:t xml:space="preserve">Feature ID:</w:t>
      </w:r>
      <w:r>
        <w:t xml:space="preserve"> </w:t>
      </w:r>
      <w:r>
        <w:t xml:space="preserve">1490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r>
        <w:t xml:space="preserve">Notes:</w:t>
      </w:r>
      <w:r>
        <w:t xml:space="preserve"> </w:t>
      </w:r>
      <w:r>
        <w:t xml:space="preserve">W/ dead BAHY</w:t>
      </w:r>
    </w:p>
    <w:p>
      <w:pPr>
        <w:pStyle w:val="BodyText"/>
      </w:pPr>
    </w:p>
    <w:p>
      <w:pPr>
        <w:pStyle w:val="BodyText"/>
      </w:pPr>
      <w:r>
        <w:t xml:space="preserve">Feature ID:</w:t>
      </w:r>
      <w:r>
        <w:t xml:space="preserve"> </w:t>
      </w:r>
      <w:r>
        <w:t xml:space="preserve">1495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r>
        <w:t xml:space="preserve">Notes:</w:t>
      </w:r>
      <w:r>
        <w:t xml:space="preserve"> </w:t>
      </w:r>
      <w:r>
        <w:t xml:space="preserve">W) ASFA ELTR TYPHA</w:t>
      </w:r>
    </w:p>
    <w:p>
      <w:pPr>
        <w:pStyle w:val="BodyText"/>
      </w:pPr>
    </w:p>
    <w:p>
      <w:pPr>
        <w:pStyle w:val="BodyText"/>
      </w:pPr>
      <w:r>
        <w:t xml:space="preserve">Feature ID:</w:t>
      </w:r>
      <w:r>
        <w:t xml:space="preserve"> </w:t>
      </w:r>
      <w:r>
        <w:t xml:space="preserve">1501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r>
        <w:t xml:space="preserve">Notes:</w:t>
      </w:r>
      <w:r>
        <w:t xml:space="preserve"> </w:t>
      </w:r>
      <w:r>
        <w:t xml:space="preserve">W/ ASFA</w:t>
      </w:r>
    </w:p>
    <w:p>
      <w:pPr>
        <w:pStyle w:val="BodyText"/>
      </w:pPr>
    </w:p>
    <w:p>
      <w:pPr>
        <w:pStyle w:val="BodyText"/>
      </w:pPr>
      <w:r>
        <w:t xml:space="preserve">Feature ID:</w:t>
      </w:r>
      <w:r>
        <w:t xml:space="preserve"> </w:t>
      </w:r>
      <w:r>
        <w:t xml:space="preserve">1506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1507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1508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1510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1515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1516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1527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1529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1535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1538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1545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1547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1563 |</w:t>
      </w:r>
      <w:r>
        <w:t xml:space="preserve"> </w:t>
      </w:r>
      <w:r>
        <w:t xml:space="preserve">Date:</w:t>
      </w:r>
      <w:r>
        <w:t xml:space="preserve"> </w:t>
      </w:r>
      <w:r>
        <w:t xml:space="preserve">2025-07-31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1583 |</w:t>
      </w:r>
      <w:r>
        <w:t xml:space="preserve"> </w:t>
      </w:r>
      <w:r>
        <w:t xml:space="preserve">Date:</w:t>
      </w:r>
      <w:r>
        <w:t xml:space="preserve"> </w:t>
      </w:r>
      <w:r>
        <w:t xml:space="preserve">2025-08-04 |</w:t>
      </w:r>
      <w:r>
        <w:t xml:space="preserve"> </w:t>
      </w:r>
      <w:r>
        <w:t xml:space="preserve">Abundance:</w:t>
      </w:r>
      <w:r>
        <w:t xml:space="preserve"> </w:t>
      </w:r>
      <w:r>
        <w:t xml:space="preserve">200 plants</w:t>
      </w:r>
    </w:p>
    <w:p>
      <w:pPr>
        <w:pStyle w:val="BodyText"/>
      </w:pPr>
      <w:r>
        <w:t xml:space="preserve">Notes:</w:t>
      </w:r>
      <w:r>
        <w:t xml:space="preserve"> </w:t>
      </w:r>
      <w:r>
        <w:t xml:space="preserve">Along bank, flowering</w:t>
      </w:r>
    </w:p>
    <w:p>
      <w:pPr>
        <w:pStyle w:val="BodyText"/>
      </w:pPr>
    </w:p>
    <w:p>
      <w:pPr>
        <w:pStyle w:val="BodyText"/>
      </w:pPr>
      <w:r>
        <w:t xml:space="preserve">Feature ID:</w:t>
      </w:r>
      <w:r>
        <w:t xml:space="preserve"> </w:t>
      </w:r>
      <w:r>
        <w:t xml:space="preserve">1598 |</w:t>
      </w:r>
      <w:r>
        <w:t xml:space="preserve"> </w:t>
      </w:r>
      <w:r>
        <w:t xml:space="preserve">Date:</w:t>
      </w:r>
      <w:r>
        <w:t xml:space="preserve"> </w:t>
      </w:r>
      <w:r>
        <w:t xml:space="preserve">2025-08-04 |</w:t>
      </w:r>
      <w:r>
        <w:t xml:space="preserve"> </w:t>
      </w:r>
      <w:r>
        <w:t xml:space="preserve">Abundance:</w:t>
      </w:r>
      <w:r>
        <w:t xml:space="preserve"> </w:t>
      </w:r>
      <w:r>
        <w:t xml:space="preserve">200 plants</w:t>
      </w:r>
    </w:p>
    <w:p>
      <w:pPr>
        <w:pStyle w:val="BodyText"/>
      </w:pPr>
      <w:r>
        <w:t xml:space="preserve">Notes:</w:t>
      </w:r>
      <w:r>
        <w:t xml:space="preserve"> </w:t>
      </w:r>
      <w:r>
        <w:t xml:space="preserve">Several large patches around this point</w:t>
      </w:r>
    </w:p>
    <w:p>
      <w:pPr>
        <w:pStyle w:val="BodyText"/>
      </w:pPr>
    </w:p>
    <w:p>
      <w:pPr>
        <w:pStyle w:val="BodyText"/>
      </w:pPr>
      <w:r>
        <w:t xml:space="preserve">Feature ID:</w:t>
      </w:r>
      <w:r>
        <w:t xml:space="preserve"> </w:t>
      </w:r>
      <w:r>
        <w:t xml:space="preserve">1650 |</w:t>
      </w:r>
      <w:r>
        <w:t xml:space="preserve"> </w:t>
      </w:r>
      <w:r>
        <w:t xml:space="preserve">Date:</w:t>
      </w:r>
      <w:r>
        <w:t xml:space="preserve"> </w:t>
      </w:r>
      <w:r>
        <w:t xml:space="preserve">2025-08-04 |</w:t>
      </w:r>
      <w:r>
        <w:t xml:space="preserve"> </w:t>
      </w:r>
      <w:r>
        <w:t xml:space="preserve">Abundance:</w:t>
      </w:r>
      <w:r>
        <w:t xml:space="preserve"> </w:t>
      </w:r>
      <w:r>
        <w:t xml:space="preserve">200 plants</w:t>
      </w:r>
    </w:p>
    <w:p>
      <w:pPr>
        <w:pStyle w:val="BodyText"/>
      </w:pPr>
    </w:p>
    <w:p>
      <w:pPr>
        <w:pStyle w:val="BodyText"/>
      </w:pPr>
      <w:r>
        <w:t xml:space="preserve">Feature ID:</w:t>
      </w:r>
      <w:r>
        <w:t xml:space="preserve"> </w:t>
      </w:r>
      <w:r>
        <w:t xml:space="preserve">1367 |</w:t>
      </w:r>
      <w:r>
        <w:t xml:space="preserve"> </w:t>
      </w:r>
      <w:r>
        <w:t xml:space="preserve">Date:</w:t>
      </w:r>
      <w:r>
        <w:t xml:space="preserve"> </w:t>
      </w:r>
      <w:r>
        <w:t xml:space="preserve">2025-04-01 |</w:t>
      </w:r>
      <w:r>
        <w:t xml:space="preserve"> </w:t>
      </w:r>
      <w:r>
        <w:t xml:space="preserve">Abundance:</w:t>
      </w:r>
      <w:r>
        <w:t xml:space="preserve"> </w:t>
      </w:r>
      <w:r>
        <w:t xml:space="preserve">100 plants</w:t>
      </w:r>
    </w:p>
    <w:p>
      <w:pPr>
        <w:pStyle w:val="BodyText"/>
      </w:pPr>
      <w:r>
        <w:rPr>
          <w:i/>
          <w:iCs/>
        </w:rPr>
        <w:t xml:space="preserve">Field documentation images provide visual confirmation of pepperweed sites and help verify site characteristics.</w:t>
      </w:r>
    </w:p>
    <w:bookmarkEnd w:id="48"/>
    <w:bookmarkEnd w:id="49"/>
    <w:bookmarkStart w:id="51" w:name="conclusion"/>
    <w:p>
      <w:pPr>
        <w:pStyle w:val="Titre1"/>
      </w:pPr>
      <w:r>
        <w:t xml:space="preserve">7. Conclusion</w:t>
      </w:r>
    </w:p>
    <w:p>
      <w:pPr>
        <w:pStyle w:val="FirstParagraph"/>
      </w:pPr>
      <w:r>
        <w:t xml:space="preserve">The 2018-2025 data reveals expanding pepperweed distribution within the LORP area. The interactive mapping tool provides land managers with a visualization tool for identifying and prioritizing treatment areas over time.</w:t>
      </w:r>
    </w:p>
    <w:p>
      <w:pPr>
        <w:pStyle w:val="BodyText"/>
      </w:pPr>
      <w:r>
        <w:t xml:space="preserve">This report will be updated as new data are added to the live feature service. The data source is available at:</w:t>
      </w:r>
      <w:r>
        <w:t xml:space="preserve"> </w:t>
      </w:r>
      <w:hyperlink r:id="rId20">
        <w:r>
          <w:rPr>
            <w:rStyle w:val="Hyperlink"/>
          </w:rPr>
          <w:t xml:space="preserve">ArcGIS REST Service</w:t>
        </w:r>
      </w:hyperlink>
    </w:p>
    <w:bookmarkStart w:id="50" w:name="data-disclaimer"/>
    <w:p>
      <w:pPr>
        <w:pStyle w:val="Titre2"/>
      </w:pPr>
      <w:r>
        <w:t xml:space="preserve">7.1 Data Disclaimer</w:t>
      </w:r>
    </w:p>
    <w:p>
      <w:pPr>
        <w:pStyle w:val="FirstParagraph"/>
      </w:pPr>
      <w:r>
        <w:t xml:space="preserve">The data presented in this report are collected for monitoring and management purposes by the Inyo County Water Department. While every effort is made to ensure accuracy, field conditions, survey timing, and observer experience may affect data quality. Users should verify critical information independently before making management decisions.</w:t>
      </w:r>
    </w:p>
    <w:p>
      <w:r>
        <w:pict>
          <v:rect style="width:0;height:1.5pt" o:hralign="center" o:hrstd="t" o:hr="t"/>
        </w:pict>
      </w:r>
    </w:p>
    <w:p>
      <w:pPr>
        <w:pStyle w:val="FirstParagraph"/>
      </w:pPr>
      <w:r>
        <w:rPr>
          <w:b/>
          <w:bCs/>
        </w:rPr>
        <w:t xml:space="preserve">Inyo County Water Department</w:t>
      </w:r>
      <w:r>
        <w:br/>
      </w:r>
      <w:r>
        <w:t xml:space="preserve">© 2025 Inyo County, California. All rights reserved.</w:t>
      </w:r>
    </w:p>
    <w:p>
      <w:pPr>
        <w:pStyle w:val="BodyText"/>
      </w:pPr>
      <w:r>
        <w:rPr>
          <w:i/>
          <w:iCs/>
        </w:rPr>
        <w:t xml:space="preserve">This analysis is automatically updated when new data is added to the ArcGIS feature service.</w:t>
      </w:r>
    </w:p>
    <w:bookmarkEnd w:id="50"/>
    <w:bookmarkEnd w:id="51"/>
    <w:sectPr w:rsidR="001379FE" w:rsidSect="00747CCE">
      <w:type w:val="continuous"/>
      <w:pgSz w:h="16840" w:w="11900"/>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7E925FD"/>
    <w:multiLevelType w:val="multilevel"/>
    <w:tmpl w:val="88F45F08"/>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5B882B35"/>
    <w:multiLevelType w:val="multilevel"/>
    <w:tmpl w:val="6F30E74C"/>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
    <w:nsid w:val="5EFC3234"/>
    <w:multiLevelType w:val="multilevel"/>
    <w:tmpl w:val="0A86311A"/>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0"/>
  <w:embedSystemFonts/>
  <w:proofState w:grammar="clean" w:spelling="clean"/>
  <w:stylePaneFormatFilter w:val="0004"/>
  <w:doNotTrackMoves/>
  <w:defaultTabStop w:val="708"/>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Titre1" w:type="paragraph">
    <w:name w:val="heading 1"/>
    <w:basedOn w:val="Normal"/>
    <w:next w:val="Normal"/>
    <w:link w:val="Titre1Car"/>
    <w:uiPriority w:val="9"/>
    <w:qFormat/>
    <w:rsid w:val="00362E65"/>
    <w:pPr>
      <w:keepNext/>
      <w:keepLines/>
      <w:numPr>
        <w:numId w:val="3"/>
      </w:numPr>
      <w:pBdr>
        <w:bottom w:color="auto" w:space="1" w:sz="4" w:val="single"/>
      </w:pBdr>
      <w:spacing w:before="480"/>
      <w:outlineLvl w:val="0"/>
    </w:pPr>
    <w:rPr>
      <w:rFonts w:asciiTheme="majorHAnsi" w:cstheme="majorBidi" w:eastAsiaTheme="majorEastAsia" w:hAnsiTheme="majorHAnsi"/>
      <w:b/>
      <w:bCs/>
      <w:sz w:val="32"/>
      <w:szCs w:val="32"/>
    </w:rPr>
  </w:style>
  <w:style w:styleId="Titre2" w:type="paragraph">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cstheme="majorBidi" w:eastAsiaTheme="majorEastAsia" w:hAnsiTheme="majorHAnsi"/>
      <w:b/>
      <w:bCs/>
      <w:sz w:val="26"/>
      <w:szCs w:val="26"/>
    </w:rPr>
  </w:style>
  <w:style w:styleId="Titre3" w:type="paragraph">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cstheme="majorBidi" w:eastAsiaTheme="majorEastAsia" w:hAnsiTheme="majorHAnsi"/>
      <w:b/>
      <w:b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strong" w:type="character">
    <w:name w:val="strong"/>
    <w:basedOn w:val="Policepardfaut"/>
    <w:uiPriority w:val="1"/>
    <w:qFormat/>
    <w:rsid w:val="007B3E96"/>
    <w:rPr>
      <w:b/>
    </w:rPr>
  </w:style>
  <w:style w:customStyle="1" w:styleId="centered" w:type="paragraph">
    <w:name w:val="centered"/>
    <w:basedOn w:val="Normal"/>
    <w:qFormat/>
    <w:rsid w:val="001D75AB"/>
    <w:pPr>
      <w:jc w:val="center"/>
    </w:pPr>
  </w:style>
  <w:style w:customStyle="1" w:styleId="tabletemplate" w:type="table">
    <w:name w:val="table_template"/>
    <w:basedOn w:val="TableauNormal"/>
    <w:uiPriority w:val="59"/>
    <w:rsid w:val="00F12158"/>
    <w:pPr>
      <w:jc w:val="right"/>
    </w:pPr>
    <w:tblPr>
      <w:jc w:val="center"/>
      <w:tblBorders>
        <w:top w:color="auto" w:space="0" w:sz="8" w:val="single"/>
        <w:bottom w:color="auto" w:space="0" w:sz="8" w:val="single"/>
        <w:insideH w:color="auto" w:space="0" w:sz="8" w:val="single"/>
      </w:tblBorders>
    </w:tblPr>
    <w:trPr>
      <w:jc w:val="center"/>
    </w:trPr>
    <w:tblStylePr w:type="firstRow">
      <w:rPr>
        <w:b/>
      </w:rPr>
      <w:tblPr/>
      <w:tcPr>
        <w:tcBorders>
          <w:top w:val="nil"/>
          <w:left w:val="nil"/>
          <w:bottom w:color="auto" w:space="0" w:sz="18" w:val="single"/>
          <w:right w:val="nil"/>
          <w:insideH w:val="nil"/>
          <w:insideV w:val="nil"/>
          <w:tl2br w:val="nil"/>
          <w:tr2bl w:val="nil"/>
        </w:tcBorders>
      </w:tcPr>
    </w:tblStylePr>
  </w:style>
  <w:style w:styleId="Listeclaire-Accent2" w:type="table">
    <w:name w:val="Light List Accent 2"/>
    <w:basedOn w:val="TableauNormal"/>
    <w:uiPriority w:val="61"/>
    <w:rsid w:val="00FC557F"/>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customStyle="1" w:styleId="Titre1Car" w:type="character">
    <w:name w:val="Titre 1 Car"/>
    <w:basedOn w:val="Policepardfaut"/>
    <w:link w:val="Titre1"/>
    <w:uiPriority w:val="9"/>
    <w:rsid w:val="00362E65"/>
    <w:rPr>
      <w:rFonts w:asciiTheme="majorHAnsi" w:cstheme="majorBidi" w:eastAsiaTheme="majorEastAsia" w:hAnsiTheme="majorHAnsi"/>
      <w:b/>
      <w:bCs/>
      <w:sz w:val="32"/>
      <w:szCs w:val="32"/>
    </w:rPr>
  </w:style>
  <w:style w:customStyle="1" w:styleId="Titre2Car" w:type="character">
    <w:name w:val="Titre 2 Car"/>
    <w:basedOn w:val="Policepardfaut"/>
    <w:link w:val="Titre2"/>
    <w:uiPriority w:val="9"/>
    <w:semiHidden/>
    <w:rsid w:val="00362E65"/>
    <w:rPr>
      <w:rFonts w:asciiTheme="majorHAnsi" w:cstheme="majorBidi" w:eastAsiaTheme="majorEastAsia" w:hAnsiTheme="majorHAnsi"/>
      <w:b/>
      <w:bCs/>
      <w:sz w:val="26"/>
      <w:szCs w:val="26"/>
    </w:rPr>
  </w:style>
  <w:style w:customStyle="1" w:styleId="Titre3Car" w:type="character">
    <w:name w:val="Titre 3 Car"/>
    <w:basedOn w:val="Policepardfaut"/>
    <w:link w:val="Titre3"/>
    <w:uiPriority w:val="9"/>
    <w:semiHidden/>
    <w:rsid w:val="00362E65"/>
    <w:rPr>
      <w:rFonts w:asciiTheme="majorHAnsi" w:cstheme="majorBidi" w:eastAsiaTheme="majorEastAsia" w:hAnsiTheme="majorHAnsi"/>
      <w:b/>
      <w:bCs/>
    </w:rPr>
  </w:style>
  <w:style w:customStyle="1" w:styleId="ImageCaption" w:type="paragraph">
    <w:name w:val="Image Caption"/>
    <w:basedOn w:val="Normal"/>
    <w:qFormat/>
    <w:rsid w:val="00AE18EF"/>
    <w:pPr>
      <w:jc w:val="center"/>
    </w:pPr>
    <w:rPr>
      <w:b/>
      <w:i/>
    </w:rPr>
  </w:style>
  <w:style w:customStyle="1" w:styleId="TableCaption" w:type="paragraph">
    <w:name w:val="Table Caption"/>
    <w:basedOn w:val="ImageCaption"/>
    <w:qFormat/>
    <w:rsid w:val="00AE18EF"/>
  </w:style>
  <w:style w:styleId="Tableauprofessionnel" w:type="table">
    <w:name w:val="Table Professional"/>
    <w:basedOn w:val="TableauNormal"/>
    <w:uiPriority w:val="99"/>
    <w:semiHidden/>
    <w:unhideWhenUsed/>
    <w:rsid w:val="00C31EEB"/>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shd w:color="000000" w:fill="FFFFFF" w:val="solid"/>
      </w:tcPr>
    </w:tblStylePr>
  </w:style>
  <w:style w:styleId="TM1" w:type="paragraph">
    <w:name w:val="toc 1"/>
    <w:basedOn w:val="Normal"/>
    <w:next w:val="Normal"/>
    <w:autoRedefine/>
    <w:uiPriority w:val="39"/>
    <w:unhideWhenUsed/>
    <w:rsid w:val="00FB63E7"/>
    <w:pPr>
      <w:spacing w:after="100"/>
    </w:pPr>
  </w:style>
  <w:style w:styleId="TM2" w:type="paragraph">
    <w:name w:val="toc 2"/>
    <w:basedOn w:val="Normal"/>
    <w:next w:val="Normal"/>
    <w:autoRedefine/>
    <w:uiPriority w:val="39"/>
    <w:unhideWhenUsed/>
    <w:rsid w:val="00FB63E7"/>
    <w:pPr>
      <w:spacing w:after="100"/>
      <w:ind w:left="240"/>
    </w:pPr>
  </w:style>
  <w:style w:styleId="Textedebulles" w:type="paragraph">
    <w:name w:val="Balloon Text"/>
    <w:basedOn w:val="Normal"/>
    <w:link w:val="TextedebullesCar"/>
    <w:uiPriority w:val="99"/>
    <w:semiHidden/>
    <w:unhideWhenUsed/>
    <w:rsid w:val="00FB63E7"/>
    <w:rPr>
      <w:rFonts w:ascii="Lucida Grande" w:hAnsi="Lucida Grande"/>
      <w:sz w:val="18"/>
      <w:szCs w:val="18"/>
    </w:rPr>
  </w:style>
  <w:style w:customStyle="1" w:styleId="TextedebullesCar" w:type="character">
    <w:name w:val="Texte de bulles Car"/>
    <w:basedOn w:val="Policepardfaut"/>
    <w:link w:val="Textedebulles"/>
    <w:uiPriority w:val="99"/>
    <w:semiHidden/>
    <w:rsid w:val="00FB63E7"/>
    <w:rPr>
      <w:rFonts w:ascii="Lucida Grande" w:hAnsi="Lucida Grande"/>
      <w:sz w:val="18"/>
      <w:szCs w:val="18"/>
    </w:rPr>
  </w:style>
  <w:style w:customStyle="1" w:styleId="referenceid" w:type="character">
    <w:name w:val="reference_id"/>
    <w:basedOn w:val="Policepardfaut"/>
    <w:uiPriority w:val="1"/>
    <w:rsid w:val="00457CF1"/>
    <w:rPr>
      <w:vertAlign w:val="superscript"/>
    </w:rPr>
  </w:style>
  <w:style w:customStyle="1" w:styleId="graphictitle" w:type="paragraph">
    <w:name w:val="graphic title"/>
    <w:basedOn w:val="ImageCaption"/>
    <w:next w:val="Normal"/>
    <w:rsid w:val="0035500D"/>
  </w:style>
  <w:style w:customStyle="1" w:styleId="tabletitle" w:type="paragraph">
    <w:name w:val="table title"/>
    <w:basedOn w:val="TableCaption"/>
    <w:next w:val="Normal"/>
    <w:rsid w:val="00901463"/>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31" Target="media/rId31.png" /><Relationship Type="http://schemas.openxmlformats.org/officeDocument/2006/relationships/image" Id="rId44" Target="media/rId44.png" /><Relationship Type="http://schemas.openxmlformats.org/officeDocument/2006/relationships/image" Id="rId40" Target="media/rId40.png" /><Relationship Type="http://schemas.openxmlformats.org/officeDocument/2006/relationships/hyperlink" Id="rId21" Target="https://ipm.ucanr.edu/home-and-landscape/perennial-pepperweed/#gsc.tab=0" TargetMode="External" /><Relationship Type="http://schemas.openxmlformats.org/officeDocument/2006/relationships/hyperlink" Id="rId20" Target="https://services.arcgis.com/0jRlQ17Qmni5zEMr/arcgis/rest/services/Noxious_Weeds_2025_view/FeatureServer/0" TargetMode="External" /></Relationships>
</file>

<file path=word/_rels/footnotes.xml.rels><?xml version="1.0" encoding="UTF-8"?><Relationships xmlns="http://schemas.openxmlformats.org/package/2006/relationships"><Relationship Type="http://schemas.openxmlformats.org/officeDocument/2006/relationships/hyperlink" Id="rId21" Target="https://ipm.ucanr.edu/home-and-landscape/perennial-pepperweed/#gsc.tab=0" TargetMode="External" /><Relationship Type="http://schemas.openxmlformats.org/officeDocument/2006/relationships/hyperlink" Id="rId20" Target="https://services.arcgis.com/0jRlQ17Qmni5zEMr/arcgis/rest/services/Noxious_Weeds_2025_view/FeatureServer/0" TargetMode="Externa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Perennial Pepperweed Mapping</dc:title>
  <dc:creator/>
  <cp:keywords/>
  <dcterms:created xsi:type="dcterms:W3CDTF">2025-09-18T19:37:50Z</dcterms:created>
  <dcterms:modified xsi:type="dcterms:W3CDTF">2025-09-18T19:37:50Z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Inyo County Water Department</vt:lpwstr>
  </property>
  <property fmtid="{D5CDD505-2E9C-101B-9397-08002B2CF9AE}" pid="3" name="biblio-config">
    <vt:lpwstr>True</vt:lpwstr>
  </property>
  <property fmtid="{D5CDD505-2E9C-101B-9397-08002B2CF9AE}" pid="4" name="citation">
    <vt:lpwstr/>
  </property>
  <property fmtid="{D5CDD505-2E9C-101B-9397-08002B2CF9AE}" pid="5" name="date">
    <vt:lpwstr>2025-09-18</vt:lpwstr>
  </property>
  <property fmtid="{D5CDD505-2E9C-101B-9397-08002B2CF9AE}" pid="6" name="date-modified">
    <vt:lpwstr>2025-09-18</vt:lpwstr>
  </property>
  <property fmtid="{D5CDD505-2E9C-101B-9397-08002B2CF9AE}" pid="7" name="execute">
    <vt:lpwstr/>
  </property>
  <property fmtid="{D5CDD505-2E9C-101B-9397-08002B2CF9AE}" pid="8" name="google-scholar">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arams">
    <vt:lpwstr/>
  </property>
  <property fmtid="{D5CDD505-2E9C-101B-9397-08002B2CF9AE}" pid="14" name="subtitle">
    <vt:lpwstr>Noxious Weeds Monitoring 2025-2026 LORP Workplan</vt:lpwstr>
  </property>
  <property fmtid="{D5CDD505-2E9C-101B-9397-08002B2CF9AE}" pid="15" name="tbl-cap-location">
    <vt:lpwstr>top</vt:lpwstr>
  </property>
  <property fmtid="{D5CDD505-2E9C-101B-9397-08002B2CF9AE}" pid="16" name="toc-title">
    <vt:lpwstr>Table of contents</vt:lpwstr>
  </property>
</Properties>
</file>