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Pepperweed Populations LORP 2018–2024</w:t>
      </w:r>
    </w:p>
    <w:p>
      <w:pPr>
        <w:pStyle w:val="Subtitle"/>
      </w:pPr>
      <w:r>
        <w:t xml:space="preserve">Interactive Analysis of Lepidium latifolium Distribution in Owens Valley</w:t>
      </w:r>
    </w:p>
    <w:p>
      <w:pPr>
        <w:pStyle w:val="Author"/>
      </w:pPr>
      <w:r>
        <w:t xml:space="preserve">Noxious Weeds Monitoring Program</w:t>
      </w:r>
    </w:p>
    <w:p>
      <w:pPr>
        <w:pStyle w:val="Date"/>
      </w:pPr>
      <w:r>
        <w:t xml:space="preserve">2025-09-17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executive-summary"/>
    <w:p>
      <w:pPr>
        <w:pStyle w:val="Titre1"/>
      </w:pPr>
      <w:r>
        <w:t xml:space="preserve">1. Executive Summary</w:t>
      </w:r>
    </w:p>
    <w:p>
      <w:pPr>
        <w:pStyle w:val="FirstParagraph"/>
      </w:pPr>
      <w:r>
        <w:t xml:space="preserve">This interactive analysis examines the distribution and population dynamics of</w:t>
      </w:r>
      <w:r>
        <w:t xml:space="preserve"> </w:t>
      </w:r>
      <w:r>
        <w:rPr>
          <w:b/>
          <w:bCs/>
        </w:rPr>
        <w:t xml:space="preserve">Lepidium latifolium</w:t>
      </w:r>
      <w:r>
        <w:t xml:space="preserve"> </w:t>
      </w:r>
      <w:r>
        <w:t xml:space="preserve">(perennial pepperweed) in the Lower Owens River Project (LORP) area from 2018 to 2025. The data is sourced from the</w:t>
      </w:r>
      <w:r>
        <w:t xml:space="preserve"> </w:t>
      </w:r>
      <w:hyperlink r:id="rId20">
        <w:r>
          <w:rPr>
            <w:rStyle w:val="Hyperlink"/>
          </w:rPr>
          <w:t xml:space="preserve">ArcGIS Online Noxious Weeds 2025 feature service</w:t>
        </w:r>
      </w:hyperlink>
      <w:r>
        <w:t xml:space="preserve"> </w:t>
      </w:r>
      <w:r>
        <w:t xml:space="preserve">and provides comprehensive insights into spatial occurrence over multiple years.</w:t>
      </w:r>
    </w:p>
    <w:bookmarkEnd w:id="21"/>
    <w:bookmarkStart w:id="24" w:name="data-loading-and-processing"/>
    <w:p>
      <w:pPr>
        <w:pStyle w:val="Titre1"/>
      </w:pPr>
      <w:r>
        <w:t xml:space="preserve">2. Data Loading and Processing</w:t>
      </w:r>
    </w:p>
    <w:bookmarkStart w:id="22" w:name="data-overview"/>
    <w:p>
      <w:pPr>
        <w:pStyle w:val="Titre2"/>
      </w:pPr>
      <w:r>
        <w:t xml:space="preserve">2.1 Data Overview</w:t>
      </w:r>
    </w:p>
    <w:p>
      <w:pPr>
        <w:pStyle w:val="FirstParagraph"/>
      </w:pPr>
      <w:r>
        <w:t xml:space="preserve">The dataset includes 1782 total observations across 8 years, with peak survey activity in 2025 (426 records).</w:t>
      </w:r>
    </w:p>
    <w:bookmarkEnd w:id="22"/>
    <w:bookmarkStart w:id="23" w:name="key-findings-summary"/>
    <w:p>
      <w:pPr>
        <w:pStyle w:val="Titre2"/>
      </w:pPr>
      <w:r>
        <w:t xml:space="preserve">2.2 Key Findings Summary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 Observations</w:t>
      </w:r>
      <w:r>
        <w:t xml:space="preserve">: 1782 records across all years (2018-2025)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Peak Survey Year</w:t>
      </w:r>
      <w:r>
        <w:t xml:space="preserve">: 2025 with 426 observations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Recent Activity</w:t>
      </w:r>
      <w:r>
        <w:t xml:space="preserve">: 890 observations in 2022-2025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Historical Baseline</w:t>
      </w:r>
      <w:r>
        <w:t xml:space="preserve">: 892 observations in 2018-2021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 Coverage</w:t>
      </w:r>
      <w:r>
        <w:t xml:space="preserve">: 100% of records have complete date information (using observation date with creation date fallback)</w:t>
      </w:r>
    </w:p>
    <w:bookmarkEnd w:id="23"/>
    <w:bookmarkEnd w:id="24"/>
    <w:bookmarkStart w:id="33" w:name="interactive-map-comparison"/>
    <w:p>
      <w:pPr>
        <w:pStyle w:val="Titre1"/>
      </w:pPr>
      <w:r>
        <w:t xml:space="preserve">3. Interactive Map Comparison</w:t>
      </w:r>
    </w:p>
    <w:p>
      <w:pPr>
        <w:pStyle w:val="FirstParagraph"/>
      </w:pPr>
      <w:r>
        <w:t xml:space="preserve">The following interactive map shows pepperweed populations across all years (2018-2025). Use the layer controls in the top-right corner to toggle between different years. The map includes all 1782 documented observations, with feature creation dates used when observation dates are unavailable.</w:t>
      </w:r>
    </w:p>
    <w:p>
      <w:pPr>
        <w:pStyle w:val="BodyText"/>
      </w:pPr>
      <w:r>
        <w:drawing>
          <wp:inline>
            <wp:extent cx="5753100" cy="46024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epperweed_analysis_files/figure-docx/interactive-map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02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interactive map above provides the primary visualization of pepperweed distribution patterns. The following analysis focuses on management priorities based on population characteristics and spatial patterns.</w:t>
      </w:r>
    </w:p>
    <w:bookmarkStart w:id="31" w:name="recent-sites-requiring-attention"/>
    <w:p>
      <w:pPr>
        <w:pStyle w:val="Titre3"/>
      </w:pPr>
      <w:r>
        <w:t xml:space="preserve">3.0.1 Recent Sites Requiring Attention</w:t>
      </w:r>
    </w:p>
    <w:p>
      <w:pPr>
        <w:pStyle w:val="FirstParagraph"/>
      </w:pPr>
      <w:r>
        <w:drawing>
          <wp:inline>
            <wp:extent cx="5753100" cy="17822624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pepperweed_analysis_files/figure-docx/new-site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822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management-responsibility"/>
    <w:p>
      <w:pPr>
        <w:pStyle w:val="Titre3"/>
      </w:pPr>
      <w:r>
        <w:t xml:space="preserve">3.0.2 Management Responsibility</w:t>
      </w:r>
    </w:p>
    <w:p>
      <w:pPr>
        <w:pStyle w:val="FirstParagraph"/>
      </w:pPr>
      <w:r>
        <w:t xml:space="preserve">Treatment implementation is the responsibility of: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LADWP</w:t>
      </w:r>
      <w:r>
        <w:t xml:space="preserve"> </w:t>
      </w:r>
      <w:r>
        <w:t xml:space="preserve">(Los Angeles Department of Water and Power)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Inyo/Mono County Agricultural Commissioner’s Office</w:t>
      </w:r>
    </w:p>
    <w:p>
      <w:pPr>
        <w:pStyle w:val="BodyText"/>
      </w:pPr>
      <w:r>
        <w:t xml:space="preserve">This analysis provides spatial data to inform management decisions.</w:t>
      </w:r>
    </w:p>
    <w:bookmarkEnd w:id="32"/>
    <w:bookmarkEnd w:id="33"/>
    <w:bookmarkStart w:id="40" w:name="data-quality-and-limitations"/>
    <w:p>
      <w:pPr>
        <w:pStyle w:val="Titre1"/>
      </w:pPr>
      <w:r>
        <w:t xml:space="preserve">4. Data Quality and Limitations</w:t>
      </w:r>
    </w:p>
    <w:bookmarkStart w:id="38" w:name="data-sources"/>
    <w:p>
      <w:pPr>
        <w:pStyle w:val="Titre2"/>
      </w:pPr>
      <w:r>
        <w:t xml:space="preserve">4.1 Data Sources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Primary Source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ArcGIS Online Noxious Weeds 2025 Feature Service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High-Resolution Imagery</w:t>
      </w:r>
      <w:r>
        <w:t xml:space="preserve">:</w:t>
      </w:r>
      <w:r>
        <w:t xml:space="preserve"> </w:t>
      </w:r>
      <w:hyperlink r:id="rId34">
        <w:r>
          <w:rPr>
            <w:rStyle w:val="Hyperlink"/>
          </w:rPr>
          <w:t xml:space="preserve">Inyo County GIS Services</w:t>
        </w:r>
      </w:hyperlink>
    </w:p>
    <w:p>
      <w:pPr>
        <w:pStyle w:val="Compact"/>
        <w:numPr>
          <w:ilvl w:val="1"/>
          <w:numId w:val="1003"/>
        </w:numPr>
      </w:pPr>
      <w:hyperlink r:id="rId35">
        <w:r>
          <w:rPr>
            <w:rStyle w:val="Hyperlink"/>
          </w:rPr>
          <w:t xml:space="preserve">LORP South 2025</w:t>
        </w:r>
      </w:hyperlink>
    </w:p>
    <w:p>
      <w:pPr>
        <w:pStyle w:val="Compact"/>
        <w:numPr>
          <w:ilvl w:val="1"/>
          <w:numId w:val="1003"/>
        </w:numPr>
      </w:pPr>
      <w:hyperlink r:id="rId36">
        <w:r>
          <w:rPr>
            <w:rStyle w:val="Hyperlink"/>
          </w:rPr>
          <w:t xml:space="preserve">LORP Central 2025</w:t>
        </w:r>
      </w:hyperlink>
    </w:p>
    <w:p>
      <w:pPr>
        <w:pStyle w:val="Compact"/>
        <w:numPr>
          <w:ilvl w:val="1"/>
          <w:numId w:val="1003"/>
        </w:numPr>
      </w:pPr>
      <w:hyperlink r:id="rId37">
        <w:r>
          <w:rPr>
            <w:rStyle w:val="Hyperlink"/>
          </w:rPr>
          <w:t xml:space="preserve">LORP North 2025</w:t>
        </w:r>
      </w:hyperlink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Last Updated</w:t>
      </w:r>
      <w:r>
        <w:t xml:space="preserve">: 1.7549326</w:t>
      </w:r>
      <w:r>
        <w:t xml:space="preserve">^{12}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Coordinate System</w:t>
      </w:r>
      <w:r>
        <w:t xml:space="preserve">: WGS84 (EPSG:4326)</w:t>
      </w:r>
    </w:p>
    <w:bookmarkEnd w:id="38"/>
    <w:bookmarkStart w:id="39" w:name="limitations"/>
    <w:p>
      <w:pPr>
        <w:pStyle w:val="Titre2"/>
      </w:pPr>
      <w:r>
        <w:t xml:space="preserve">4.2 Limitations</w:t>
      </w:r>
    </w:p>
    <w:p>
      <w:pPr>
        <w:pStyle w:val="Compact"/>
        <w:numPr>
          <w:ilvl w:val="0"/>
          <w:numId w:val="1004"/>
        </w:numPr>
      </w:pPr>
      <w:r>
        <w:t xml:space="preserve">Data represents documented observations only</w:t>
      </w:r>
    </w:p>
    <w:p>
      <w:pPr>
        <w:pStyle w:val="Compact"/>
        <w:numPr>
          <w:ilvl w:val="0"/>
          <w:numId w:val="1004"/>
        </w:numPr>
      </w:pPr>
      <w:r>
        <w:t xml:space="preserve">Population estimates may vary based on survey timing and conditions</w:t>
      </w:r>
    </w:p>
    <w:p>
      <w:pPr>
        <w:pStyle w:val="Compact"/>
        <w:numPr>
          <w:ilvl w:val="0"/>
          <w:numId w:val="1004"/>
        </w:numPr>
      </w:pPr>
      <w:r>
        <w:t xml:space="preserve">Some areas may be under-sampled due to access constraints</w:t>
      </w:r>
    </w:p>
    <w:p>
      <w:pPr>
        <w:pStyle w:val="Compact"/>
        <w:numPr>
          <w:ilvl w:val="0"/>
          <w:numId w:val="1004"/>
        </w:numPr>
      </w:pPr>
      <w:r>
        <w:t xml:space="preserve">Abundance categories are based on field estimates</w:t>
      </w:r>
    </w:p>
    <w:bookmarkEnd w:id="39"/>
    <w:bookmarkEnd w:id="40"/>
    <w:bookmarkStart w:id="41" w:name="conclusion"/>
    <w:p>
      <w:pPr>
        <w:pStyle w:val="Titre1"/>
      </w:pPr>
      <w:r>
        <w:t xml:space="preserve">5. Conclusion</w:t>
      </w:r>
    </w:p>
    <w:p>
      <w:pPr>
        <w:pStyle w:val="FirstParagraph"/>
      </w:pPr>
      <w:r>
        <w:t xml:space="preserve">The comprehensive 2018-2025 analysis reveals important trends in pepperweed distribution within the LORP area. The interactive mapping tool provides land managers with a visualization tool for identifying treatment areas over time.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analysis is automatically updated when new data is added to the ArcGIS feature service.</w:t>
      </w:r>
    </w:p>
    <w:bookmarkEnd w:id="41"/>
    <w:sectPr w:rsidR="001379FE" w:rsidSect="00747CCE">
      <w:type w:val="continuous"/>
      <w:pgSz w:h="16840" w:w="11900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80"/>
  <w:embedSystemFonts/>
  <w:proofState w:grammar="clean" w:spelling="clean"/>
  <w:stylePaneFormatFilter w:val="0004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</w:compat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color="auto" w:space="1" w:sz="4" w:val="single"/>
      </w:pBdr>
      <w:spacing w:before="480"/>
      <w:outlineLvl w:val="0"/>
    </w:pPr>
    <w:rPr>
      <w:rFonts w:asciiTheme="majorHAnsi" w:cstheme="majorBidi" w:eastAsiaTheme="majorEastAsia" w:hAnsiTheme="majorHAnsi"/>
      <w:b/>
      <w:bCs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cstheme="majorBidi" w:eastAsiaTheme="majorEastAsia" w:hAnsiTheme="majorHAnsi"/>
      <w:b/>
      <w:bCs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strong" w:type="character">
    <w:name w:val="strong"/>
    <w:basedOn w:val="Policepardfaut"/>
    <w:uiPriority w:val="1"/>
    <w:qFormat/>
    <w:rsid w:val="007B3E96"/>
    <w:rPr>
      <w:b/>
    </w:rPr>
  </w:style>
  <w:style w:customStyle="1" w:styleId="centered" w:type="paragraph">
    <w:name w:val="centered"/>
    <w:basedOn w:val="Normal"/>
    <w:qFormat/>
    <w:rsid w:val="001D75AB"/>
    <w:pPr>
      <w:jc w:val="center"/>
    </w:pPr>
  </w:style>
  <w:style w:customStyle="1" w:styleId="tabletemplate" w:type="table">
    <w:name w:val="table_template"/>
    <w:basedOn w:val="TableauNormal"/>
    <w:uiPriority w:val="59"/>
    <w:rsid w:val="00F12158"/>
    <w:pPr>
      <w:jc w:val="right"/>
    </w:pPr>
    <w:tblPr>
      <w:jc w:val="center"/>
      <w:tblBorders>
        <w:top w:color="auto" w:space="0" w:sz="8" w:val="single"/>
        <w:bottom w:color="auto" w:space="0" w:sz="8" w:val="single"/>
        <w:insideH w:color="auto" w:space="0" w:sz="8" w:val="single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  <w:tl2br w:val="nil"/>
          <w:tr2bl w:val="nil"/>
        </w:tcBorders>
      </w:tcPr>
    </w:tblStylePr>
  </w:style>
  <w:style w:styleId="Listeclaire-Accent2" w:type="table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customStyle="1" w:styleId="Titre1Car" w:type="character">
    <w:name w:val="Titre 1 Car"/>
    <w:basedOn w:val="Policepardfaut"/>
    <w:link w:val="Titre1"/>
    <w:uiPriority w:val="9"/>
    <w:rsid w:val="00362E65"/>
    <w:rPr>
      <w:rFonts w:asciiTheme="majorHAnsi" w:cstheme="majorBidi" w:eastAsiaTheme="majorEastAsia" w:hAnsiTheme="majorHAnsi"/>
      <w:b/>
      <w:bCs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semiHidden/>
    <w:rsid w:val="00362E65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semiHidden/>
    <w:rsid w:val="00362E65"/>
    <w:rPr>
      <w:rFonts w:asciiTheme="majorHAnsi" w:cstheme="majorBidi" w:eastAsiaTheme="majorEastAsia" w:hAnsiTheme="majorHAnsi"/>
      <w:b/>
      <w:bCs/>
    </w:rPr>
  </w:style>
  <w:style w:customStyle="1" w:styleId="ImageCaption" w:type="paragraph">
    <w:name w:val="Image Caption"/>
    <w:basedOn w:val="Normal"/>
    <w:qFormat/>
    <w:rsid w:val="00AE18EF"/>
    <w:pPr>
      <w:jc w:val="center"/>
    </w:pPr>
    <w:rPr>
      <w:b/>
      <w:i/>
    </w:rPr>
  </w:style>
  <w:style w:customStyle="1" w:styleId="TableCaption" w:type="paragraph">
    <w:name w:val="Table Caption"/>
    <w:basedOn w:val="ImageCaption"/>
    <w:qFormat/>
    <w:rsid w:val="00AE18EF"/>
  </w:style>
  <w:style w:styleId="Tableauprofessionnel" w:type="table">
    <w:name w:val="Table Professional"/>
    <w:basedOn w:val="TableauNormal"/>
    <w:uiPriority w:val="99"/>
    <w:semiHidden/>
    <w:unhideWhenUsed/>
    <w:rsid w:val="00C31EE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auto"/>
      </w:rPr>
      <w:tblPr/>
      <w:tcPr>
        <w:shd w:color="000000" w:fill="FFFFFF" w:val="solid"/>
      </w:tcPr>
    </w:tblStylePr>
  </w:style>
  <w:style w:styleId="TM1" w:type="paragraph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styleId="TM2" w:type="paragraph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customStyle="1" w:styleId="referenceid" w:type="character">
    <w:name w:val="reference_id"/>
    <w:basedOn w:val="Policepardfaut"/>
    <w:uiPriority w:val="1"/>
    <w:rsid w:val="00457CF1"/>
    <w:rPr>
      <w:vertAlign w:val="superscript"/>
    </w:rPr>
  </w:style>
  <w:style w:customStyle="1" w:styleId="graphictitle" w:type="paragraph">
    <w:name w:val="graphic title"/>
    <w:basedOn w:val="ImageCaption"/>
    <w:next w:val="Normal"/>
    <w:rsid w:val="0035500D"/>
  </w:style>
  <w:style w:customStyle="1" w:styleId="tabletitle" w:type="paragraph">
    <w:name w:val="table title"/>
    <w:basedOn w:val="TableCaption"/>
    <w:next w:val="Normal"/>
    <w:rsid w:val="00901463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34" Target="https://gis.inyo.gov/server/rest/services/" TargetMode="External" /><Relationship Type="http://schemas.openxmlformats.org/officeDocument/2006/relationships/hyperlink" Id="rId36" Target="https://gis.inyo.gov/server/rest/services/Imagery/LORP_Central_2025/ImageServer" TargetMode="External" /><Relationship Type="http://schemas.openxmlformats.org/officeDocument/2006/relationships/hyperlink" Id="rId37" Target="https://gis.inyo.gov/server/rest/services/Imagery/LORP_North_2025/ImageServer" TargetMode="External" /><Relationship Type="http://schemas.openxmlformats.org/officeDocument/2006/relationships/hyperlink" Id="rId35" Target="https://gis.inyo.gov/server/rest/services/Imagery/LORP_South_2025/ImageServer" TargetMode="External" /><Relationship Type="http://schemas.openxmlformats.org/officeDocument/2006/relationships/hyperlink" Id="rId20" Target="https://services.arcgis.com/0jRlQ17Qmni5zEMr/arcgis/rest/services/Noxious_Weeds_2025_view/FeatureServer/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is.inyo.gov/server/rest/services/" TargetMode="External" /><Relationship Type="http://schemas.openxmlformats.org/officeDocument/2006/relationships/hyperlink" Id="rId36" Target="https://gis.inyo.gov/server/rest/services/Imagery/LORP_Central_2025/ImageServer" TargetMode="External" /><Relationship Type="http://schemas.openxmlformats.org/officeDocument/2006/relationships/hyperlink" Id="rId37" Target="https://gis.inyo.gov/server/rest/services/Imagery/LORP_North_2025/ImageServer" TargetMode="External" /><Relationship Type="http://schemas.openxmlformats.org/officeDocument/2006/relationships/hyperlink" Id="rId35" Target="https://gis.inyo.gov/server/rest/services/Imagery/LORP_South_2025/ImageServer" TargetMode="External" /><Relationship Type="http://schemas.openxmlformats.org/officeDocument/2006/relationships/hyperlink" Id="rId20" Target="https://services.arcgis.com/0jRlQ17Qmni5zEMr/arcgis/rest/services/Noxious_Weeds_2025_view/FeatureServer/0" TargetMode="External" 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Pepperweed Populations LORP 2018–2024</dc:title>
  <dc:creator>Noxious Weeds Monitoring Program</dc:creator>
  <cp:keywords/>
  <dcterms:created xsi:type="dcterms:W3CDTF">2025-09-17T23:40:47Z</dcterms:created>
  <dcterms:modified xsi:type="dcterms:W3CDTF">2025-09-17T23:40:47Z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2025-09-17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Interactive Analysis of Lepidium latifolium Distribution in Owens Valley</vt:lpwstr>
  </property>
  <property fmtid="{D5CDD505-2E9C-101B-9397-08002B2CF9AE}" pid="12" name="toc-title">
    <vt:lpwstr>Table of contents</vt:lpwstr>
  </property>
</Properties>
</file>