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26.png" ContentType="image/png"/>
  <Override PartName="/word/media/rId32.png" ContentType="image/png"/>
  <Override PartName="/word/media/rId45.png" ContentType="image/png"/>
  <Override PartName="/word/media/rId50.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Perennial Pepperweed Mapping</w:t>
      </w:r>
    </w:p>
    <w:p>
      <w:pPr>
        <w:pStyle w:val="Subtitle"/>
      </w:pPr>
      <w:r>
        <w:t xml:space="preserve">Noxious Weeds Monitoring — LORP FY 2026–27 (</w:t>
      </w:r>
      <w:hyperlink r:id="rId20">
        <w:r>
          <w:rPr>
            <w:rStyle w:val="Hyperlink"/>
          </w:rPr>
          <w:t xml:space="preserve">approved workplan PDF</w:t>
        </w:r>
      </w:hyperlink>
      <w:r>
        <w:t xml:space="preserve">)</w:t>
      </w:r>
    </w:p>
    <w:p>
      <w:pPr>
        <w:pStyle w:val="Date"/>
      </w:pPr>
      <w:r>
        <w:t xml:space="preserve">2026-07-10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summary"/>
    <w:p>
      <w:pPr>
        <w:pStyle w:val="Titre1"/>
      </w:pPr>
      <w:r>
        <w:t xml:space="preserve">1. Summary</w:t>
      </w:r>
    </w:p>
    <w:p>
      <w:pPr>
        <w:pStyle w:val="FirstParagraph"/>
      </w:pPr>
      <w:r>
        <w:t xml:space="preserve">This data report covers the monitoring of</w:t>
      </w:r>
      <w:r>
        <w:t xml:space="preserve"> </w:t>
      </w:r>
      <w:r>
        <w:rPr>
          <w:b/>
          <w:bCs/>
        </w:rPr>
        <w:t xml:space="preserve">Lepidium latifolium</w:t>
      </w:r>
      <w:r>
        <w:t xml:space="preserve"> </w:t>
      </w:r>
      <w:r>
        <w:t xml:space="preserve">(perennial pepperweed) in the Lower Owens River Project (LORP) area from 2018 to 2025. The data is sourced from the</w:t>
      </w:r>
      <w:r>
        <w:t xml:space="preserve"> </w:t>
      </w:r>
      <w:hyperlink r:id="rId21">
        <w:r>
          <w:rPr>
            <w:rStyle w:val="Hyperlink"/>
          </w:rPr>
          <w:t xml:space="preserve">ArcGIS Online Noxious Weeds 2025 feature service</w:t>
        </w:r>
      </w:hyperlink>
      <w:r>
        <w:t xml:space="preserve"> </w:t>
      </w:r>
      <w:r>
        <w:t xml:space="preserve">and provides updated spatial occurrence as of 2025.</w:t>
      </w:r>
    </w:p>
    <w:p>
      <w:pPr>
        <w:pStyle w:val="BlockText"/>
      </w:pPr>
      <w:r>
        <w:t xml:space="preserve">“Perennial pepperweed (Lepidium latifolium), an introduced plant from southeastern Europe and Asia, is invasive throughout the western United States. It can establish in a wide range of environments and is a common problem in flood plains, irrigation structures, pastures, wetlands, riparian areas, roadsides, and residential site. Recent surveys identify perennial pepperweed as a weed problem in nearly all of California, and both the California Department of Food and Agriculture (CDFA) and California Invasive Plant Council (Cal-IPC) list it as a noxious weed of great ecological concern.”</w:t>
      </w:r>
      <w:r>
        <w:t xml:space="preserve"> </w:t>
      </w:r>
      <w:r>
        <w:t xml:space="preserve">-</w:t>
      </w:r>
      <w:r>
        <w:t xml:space="preserve"> </w:t>
      </w:r>
      <w:hyperlink r:id="rId22">
        <w:r>
          <w:rPr>
            <w:rStyle w:val="Hyperlink"/>
          </w:rPr>
          <w:t xml:space="preserve">UC IPM</w:t>
        </w:r>
      </w:hyperlink>
    </w:p>
    <w:p>
      <w:pPr>
        <w:pStyle w:val="FirstParagraph"/>
      </w:pPr>
      <w:r>
        <w:rPr>
          <w:b/>
          <w:bCs/>
        </w:rPr>
        <w:t xml:space="preserve">California Invasive Plant Council (Cal-IPC) Rating: High</w:t>
      </w:r>
      <w:r>
        <w:br/>
      </w:r>
      <w:r>
        <w:t xml:space="preserve">High – These species have severe ecological impacts on physical processes, plant and animal communities, and vegetation structure. Their reproductive biology and other attributes are conducive to moderate to high rates of dispersal and establishment. Most are widely distributed ecologically.</w:t>
      </w:r>
    </w:p>
    <w:p>
      <w:pPr>
        <w:pStyle w:val="BodyText"/>
      </w:pPr>
      <w:r>
        <w:rPr>
          <w:b/>
          <w:bCs/>
        </w:rPr>
        <w:t xml:space="preserve">California Department of Food and Agriculture (CDFA) Rating: -</w:t>
      </w:r>
      <w:r>
        <w:t xml:space="preserve">*</w:t>
      </w:r>
      <w:r>
        <w:br/>
      </w:r>
      <w:r>
        <w:t xml:space="preserve">* – included in the CCR Section 4500 list of California State Noxious Weeds.</w:t>
      </w:r>
    </w:p>
    <w:p>
      <w:pPr>
        <w:pStyle w:val="SourceCode"/>
      </w:pPr>
      <w:r>
        <w:rPr>
          <w:rStyle w:val="VerbatimChar"/>
        </w:rPr>
        <w:t xml:space="preserve">LORP Area Filter Applied:</w:t>
      </w:r>
      <w:r>
        <w:br/>
      </w:r>
      <w:r>
        <w:rPr>
          <w:rStyle w:val="VerbatimChar"/>
        </w:rPr>
        <w:t xml:space="preserve">- Northernmost 2025 point latitude: 36.9747 °N</w:t>
      </w:r>
      <w:r>
        <w:br/>
      </w:r>
      <w:r>
        <w:rPr>
          <w:rStyle w:val="VerbatimChar"/>
        </w:rPr>
        <w:t xml:space="preserve">- Filtered dataset now contains 1647 observations</w:t>
      </w:r>
    </w:p>
    <w:bookmarkStart w:id="23" w:name="data-overview"/>
    <w:p>
      <w:pPr>
        <w:pStyle w:val="Titre2"/>
      </w:pPr>
      <w:r>
        <w:t xml:space="preserve">1.1 Data Overview</w:t>
      </w:r>
    </w:p>
    <w:p>
      <w:pPr>
        <w:pStyle w:val="FirstParagraph"/>
      </w:pPr>
      <w:r>
        <w:t xml:space="preserve">The dataset includes 1647 total observations across 8 years, with peak survey activity in 2025 (426 records).</w:t>
      </w:r>
    </w:p>
    <w:bookmarkEnd w:id="23"/>
    <w:bookmarkStart w:id="24" w:name="key-findings-summary"/>
    <w:p>
      <w:pPr>
        <w:pStyle w:val="Titre2"/>
      </w:pPr>
      <w:r>
        <w:t xml:space="preserve">1.2 Key Findings Summary</w:t>
      </w:r>
    </w:p>
    <w:p>
      <w:pPr>
        <w:pStyle w:val="Compact"/>
        <w:numPr>
          <w:ilvl w:val="0"/>
          <w:numId w:val="1001"/>
        </w:numPr>
      </w:pPr>
      <w:r>
        <w:rPr>
          <w:b/>
          <w:bCs/>
        </w:rPr>
        <w:t xml:space="preserve">Total Observations</w:t>
      </w:r>
      <w:r>
        <w:t xml:space="preserve">: 1647 records across all years (2018-2025)</w:t>
      </w:r>
    </w:p>
    <w:p>
      <w:pPr>
        <w:pStyle w:val="Compact"/>
        <w:numPr>
          <w:ilvl w:val="0"/>
          <w:numId w:val="1001"/>
        </w:numPr>
      </w:pPr>
      <w:r>
        <w:rPr>
          <w:b/>
          <w:bCs/>
        </w:rPr>
        <w:t xml:space="preserve">Peak Survey Year</w:t>
      </w:r>
      <w:r>
        <w:t xml:space="preserve">: 2025 with 426 observations</w:t>
      </w:r>
    </w:p>
    <w:p>
      <w:pPr>
        <w:pStyle w:val="Compact"/>
        <w:numPr>
          <w:ilvl w:val="0"/>
          <w:numId w:val="1001"/>
        </w:numPr>
      </w:pPr>
      <w:r>
        <w:rPr>
          <w:b/>
          <w:bCs/>
        </w:rPr>
        <w:t xml:space="preserve">Recent Activity</w:t>
      </w:r>
      <w:r>
        <w:t xml:space="preserve">: 852 observations in 2022-2025</w:t>
      </w:r>
    </w:p>
    <w:p>
      <w:pPr>
        <w:pStyle w:val="Compact"/>
        <w:numPr>
          <w:ilvl w:val="0"/>
          <w:numId w:val="1001"/>
        </w:numPr>
      </w:pPr>
      <w:r>
        <w:rPr>
          <w:b/>
          <w:bCs/>
        </w:rPr>
        <w:t xml:space="preserve">Historical Baseline</w:t>
      </w:r>
      <w:r>
        <w:t xml:space="preserve">: 795 observations in 2018-2021</w:t>
      </w:r>
    </w:p>
    <w:p>
      <w:pPr>
        <w:pStyle w:val="Compact"/>
        <w:numPr>
          <w:ilvl w:val="0"/>
          <w:numId w:val="1001"/>
        </w:numPr>
      </w:pPr>
      <w:r>
        <w:rPr>
          <w:b/>
          <w:bCs/>
        </w:rPr>
        <w:t xml:space="preserve">Data Coverage</w:t>
      </w:r>
      <w:r>
        <w:t xml:space="preserve">: 100% of records have complete date information (using observation date with creation date fallback)</w:t>
      </w:r>
    </w:p>
    <w:bookmarkEnd w:id="24"/>
    <w:bookmarkEnd w:id="25"/>
    <w:bookmarkStart w:id="37" w:name="interactive-map-comparison"/>
    <w:p>
      <w:pPr>
        <w:pStyle w:val="Titre1"/>
      </w:pPr>
      <w:r>
        <w:t xml:space="preserve">2. Interactive Map Comparison</w:t>
      </w:r>
    </w:p>
    <w:p>
      <w:pPr>
        <w:pStyle w:val="FirstParagraph"/>
      </w:pPr>
      <w:r>
        <w:t xml:space="preserve">The following interactive map shows pepperweed populations across all years (2018-2025). Use the layer controls in the top-right corner to toggle between different years. The map includes all 1647 documented observations, with feature creation dates used when observation dates are unavailable.</w:t>
      </w:r>
    </w:p>
    <w:p>
      <w:pPr>
        <w:pStyle w:val="BodyText"/>
      </w:pPr>
      <w:r>
        <w:rPr>
          <w:b/>
          <w:bCs/>
        </w:rPr>
        <w:t xml:space="preserve">Map layers:</w:t>
      </w:r>
      <w:r>
        <w:t xml:space="preserve"> </w:t>
      </w:r>
      <w:r>
        <w:t xml:space="preserve">purple</w:t>
      </w:r>
      <w:r>
        <w:t xml:space="preserve"> </w:t>
      </w:r>
      <w:r>
        <w:rPr>
          <w:b/>
          <w:bCs/>
        </w:rPr>
        <w:t xml:space="preserve">River channels</w:t>
      </w:r>
      <w:r>
        <w:t xml:space="preserve"> </w:t>
      </w:r>
      <w:r>
        <w:t xml:space="preserve">(multithreaded Owens River) and blue</w:t>
      </w:r>
      <w:r>
        <w:t xml:space="preserve"> </w:t>
      </w:r>
      <w:r>
        <w:rPr>
          <w:b/>
          <w:bCs/>
        </w:rPr>
        <w:t xml:space="preserve">High-water line</w:t>
      </w:r>
      <w:r>
        <w:t xml:space="preserve"> </w:t>
      </w:r>
      <w:r>
        <w:t xml:space="preserve">(June 2023 floodplain). Survey-gap polygons are deferred for now — use the tabular monitoring recommendations below.</w:t>
      </w:r>
    </w:p>
    <w:p>
      <w:pPr>
        <w:pStyle w:val="BodyText"/>
      </w:pPr>
      <w:r>
        <w:t xml:space="preserve">Data Downloads</w:t>
      </w:r>
    </w:p>
    <w:p>
      <w:pPr>
        <w:pStyle w:val="BodyText"/>
      </w:pPr>
      <w:r>
        <w:t xml:space="preserve">📊 Download GeoJSON</w:t>
      </w:r>
      <w:r>
        <w:t xml:space="preserve"> </w:t>
      </w:r>
      <w:r>
        <w:t xml:space="preserve">🌍 Download KML</w:t>
      </w:r>
    </w:p>
    <w:p>
      <w:pPr>
        <w:pStyle w:val="BodyText"/>
      </w:pPr>
      <w:r>
        <w:t xml:space="preserve">Complete dataset with all 1647 pepperweed observations</w:t>
      </w:r>
    </w:p>
    <w:p>
      <w:pPr>
        <w:pStyle w:val="BodyText"/>
      </w:pPr>
      <w:r>
        <w:t xml:space="preserve">Study Area Boundaries</w:t>
      </w:r>
    </w:p>
    <w:p>
      <w:pPr>
        <w:pStyle w:val="BodyText"/>
      </w:pPr>
      <w:r>
        <w:t xml:space="preserve">North</w:t>
      </w:r>
      <w:r>
        <w:t xml:space="preserve">: 36.9747°N</w:t>
      </w:r>
    </w:p>
    <w:p>
      <w:pPr>
        <w:pStyle w:val="BodyText"/>
      </w:pPr>
      <w:r>
        <w:t xml:space="preserve">South</w:t>
      </w:r>
      <w:r>
        <w:t xml:space="preserve">: 36.5478°N</w:t>
      </w:r>
    </w:p>
    <w:p>
      <w:pPr>
        <w:pStyle w:val="BodyText"/>
      </w:pPr>
      <w:r>
        <w:t xml:space="preserve">East</w:t>
      </w:r>
      <w:r>
        <w:t xml:space="preserve">: -117.981°W</w:t>
      </w:r>
    </w:p>
    <w:p>
      <w:pPr>
        <w:pStyle w:val="BodyText"/>
      </w:pPr>
      <w:r>
        <w:t xml:space="preserve">West</w:t>
      </w:r>
      <w:r>
        <w:t xml:space="preserve">: -118.2343°W</w:t>
      </w:r>
    </w:p>
    <w:p>
      <w:pPr>
        <w:pStyle w:val="BodyText"/>
      </w:pPr>
      <w:r>
        <w:t xml:space="preserve">Center</w:t>
      </w:r>
      <w:r>
        <w:t xml:space="preserve">: 36.7612°N, -118.1077°W</w:t>
      </w:r>
    </w:p>
    <w:p>
      <w:pPr>
        <w:pStyle w:val="SourceCode"/>
      </w:pPr>
      <w:r>
        <w:rPr>
          <w:rStyle w:val="VerbatimChar"/>
        </w:rPr>
        <w:t xml:space="preserve">Re-reading with feature count reset from 1 to 0</w:t>
      </w:r>
    </w:p>
    <w:p>
      <w:pPr>
        <w:pStyle w:val="FirstParagraph"/>
      </w:pPr>
      <w:r>
        <w:drawing>
          <wp:inline>
            <wp:extent cx="5753100" cy="4602480"/>
            <wp:effectExtent b="0" l="0" r="0" t="0"/>
            <wp:docPr descr="" title="" id="27" name="Picture"/>
            <a:graphic>
              <a:graphicData uri="http://schemas.openxmlformats.org/drawingml/2006/picture">
                <pic:pic>
                  <pic:nvPicPr>
                    <pic:cNvPr descr="index_files/figure-docx/interactive-map-1.png" id="28" name="Picture"/>
                    <pic:cNvPicPr>
                      <a:picLocks noChangeArrowheads="1" noChangeAspect="1"/>
                    </pic:cNvPicPr>
                  </pic:nvPicPr>
                  <pic:blipFill>
                    <a:blip r:embed="rId26"/>
                    <a:stretch>
                      <a:fillRect/>
                    </a:stretch>
                  </pic:blipFill>
                  <pic:spPr bwMode="auto">
                    <a:xfrm>
                      <a:off x="0" y="0"/>
                      <a:ext cx="5753100" cy="4602480"/>
                    </a:xfrm>
                    <a:prstGeom prst="rect">
                      <a:avLst/>
                    </a:prstGeom>
                    <a:noFill/>
                    <a:ln w="9525">
                      <a:noFill/>
                      <a:headEnd/>
                      <a:tailEnd/>
                    </a:ln>
                  </pic:spPr>
                </pic:pic>
              </a:graphicData>
            </a:graphic>
          </wp:inline>
        </w:drawing>
      </w:r>
    </w:p>
    <w:bookmarkStart w:id="36" w:name="Xd40d32226b991a08ba3c97a575220c73c46cde8"/>
    <w:p>
      <w:pPr>
        <w:pStyle w:val="Titre2"/>
      </w:pPr>
      <w:r>
        <w:t xml:space="preserve">2.1 2025 Distribution - plants per site estimated from field observations</w:t>
      </w:r>
    </w:p>
    <w:p>
      <w:pPr>
        <w:pStyle w:val="FirstParagraph"/>
      </w:pPr>
      <w:r>
        <w:t xml:space="preserve">Field abundance is recorded in discrete estimate classes (</w:t>
      </w:r>
      <w:r>
        <w:rPr>
          <w:b/>
          <w:bCs/>
        </w:rPr>
        <w:t xml:space="preserve">5, 15, 25, 100, 200</w:t>
      </w:r>
      <w:r>
        <w:t xml:space="preserve">). A value of</w:t>
      </w:r>
      <w:r>
        <w:t xml:space="preserve"> </w:t>
      </w:r>
      <w:r>
        <w:rPr>
          <w:b/>
          <w:bCs/>
        </w:rPr>
        <w:t xml:space="preserve">200 means ≥200 plants</w:t>
      </w:r>
      <w:r>
        <w:t xml:space="preserve"> </w:t>
      </w:r>
      <w:r>
        <w:t xml:space="preserve">— a lower bound for dense stands that may contain hundreds to thousands of individuals (not an exact count of 200).</w:t>
      </w:r>
    </w:p>
    <w:p>
      <w:pPr>
        <w:pStyle w:val="BodyText"/>
      </w:pPr>
      <w:r>
        <w:t xml:space="preserve">The following chart shows the distribution of these abundance classes for pepperweed sites documented in 2025:</w:t>
      </w:r>
    </w:p>
    <w:p>
      <w:pPr>
        <w:pStyle w:val="BodyText"/>
      </w:pPr>
      <w:r>
        <w:drawing>
          <wp:inline>
            <wp:extent cx="5753100" cy="4602480"/>
            <wp:effectExtent b="0" l="0" r="0" t="0"/>
            <wp:docPr descr="" title="" id="30" name="Picture"/>
            <a:graphic>
              <a:graphicData uri="http://schemas.openxmlformats.org/drawingml/2006/picture">
                <pic:pic>
                  <pic:nvPicPr>
                    <pic:cNvPr descr="index_files/figure-docx/abundance-histogram-1.png" id="31" name="Picture"/>
                    <pic:cNvPicPr>
                      <a:picLocks noChangeArrowheads="1" noChangeAspect="1"/>
                    </pic:cNvPicPr>
                  </pic:nvPicPr>
                  <pic:blipFill>
                    <a:blip r:embed="rId29"/>
                    <a:stretch>
                      <a:fillRect/>
                    </a:stretch>
                  </pic:blipFill>
                  <pic:spPr bwMode="auto">
                    <a:xfrm>
                      <a:off x="0" y="0"/>
                      <a:ext cx="5753100" cy="4602480"/>
                    </a:xfrm>
                    <a:prstGeom prst="rect">
                      <a:avLst/>
                    </a:prstGeom>
                    <a:noFill/>
                    <a:ln w="9525">
                      <a:noFill/>
                      <a:headEnd/>
                      <a:tailEnd/>
                    </a:ln>
                  </pic:spPr>
                </pic:pic>
              </a:graphicData>
            </a:graphic>
          </wp:inline>
        </w:drawing>
      </w:r>
    </w:p>
    <w:p>
      <w:pPr>
        <w:pStyle w:val="SourceCode"/>
      </w:pPr>
      <w:r>
        <w:rPr>
          <w:rStyle w:val="VerbatimChar"/>
        </w:rPr>
        <w:t xml:space="preserve">### 2025 Site Distribution</w:t>
      </w:r>
      <w:r>
        <w:br/>
      </w:r>
      <w:r>
        <w:rPr>
          <w:rStyle w:val="VerbatimChar"/>
        </w:rPr>
        <w:t xml:space="preserve">- **Total Sites**: 426 </w:t>
      </w:r>
      <w:r>
        <w:br/>
      </w:r>
      <w:r>
        <w:rPr>
          <w:rStyle w:val="VerbatimChar"/>
        </w:rPr>
        <w:t xml:space="preserve">- **Sites below 200 class**: 325 ( 76.3 %)</w:t>
      </w:r>
      <w:r>
        <w:br/>
      </w:r>
      <w:r>
        <w:rPr>
          <w:rStyle w:val="VerbatimChar"/>
        </w:rPr>
        <w:t xml:space="preserve">- **Sites in 200+ class (≥200 plants; may be thousands)**: 99 ( 23.2 %)</w:t>
      </w:r>
      <w:r>
        <w:br/>
      </w:r>
      <w:r>
        <w:br/>
      </w:r>
      <w:r>
        <w:rPr>
          <w:rStyle w:val="VerbatimChar"/>
        </w:rPr>
        <w:t xml:space="preserve">### Detailed Abundance Distribution</w:t>
      </w:r>
      <w:r>
        <w:br/>
      </w:r>
      <w:r>
        <w:rPr>
          <w:rStyle w:val="VerbatimChar"/>
        </w:rPr>
        <w:t xml:space="preserve">- **5 plants (estimate class)**: 57 sites</w:t>
      </w:r>
      <w:r>
        <w:br/>
      </w:r>
      <w:r>
        <w:rPr>
          <w:rStyle w:val="VerbatimChar"/>
        </w:rPr>
        <w:t xml:space="preserve">- **15 plants (estimate class)**: 59 sites</w:t>
      </w:r>
      <w:r>
        <w:br/>
      </w:r>
      <w:r>
        <w:rPr>
          <w:rStyle w:val="VerbatimChar"/>
        </w:rPr>
        <w:t xml:space="preserve">- **25 plants (estimate class)**: 76 sites</w:t>
      </w:r>
      <w:r>
        <w:br/>
      </w:r>
      <w:r>
        <w:rPr>
          <w:rStyle w:val="VerbatimChar"/>
        </w:rPr>
        <w:t xml:space="preserve">- **100 plants (estimate class)**: 133 sites</w:t>
      </w:r>
      <w:r>
        <w:br/>
      </w:r>
      <w:r>
        <w:rPr>
          <w:rStyle w:val="VerbatimChar"/>
        </w:rPr>
        <w:t xml:space="preserve">- **200+ plants (≥200; may be thousands)**: 99 sites</w:t>
      </w:r>
      <w:r>
        <w:br/>
      </w:r>
      <w:r>
        <w:br/>
      </w:r>
      <w:r>
        <w:rPr>
          <w:rStyle w:val="VerbatimChar"/>
        </w:rPr>
        <w:t xml:space="preserve">### Abundance coding</w:t>
      </w:r>
      <w:r>
        <w:br/>
      </w:r>
      <w:r>
        <w:rPr>
          <w:rStyle w:val="VerbatimChar"/>
        </w:rPr>
        <w:t xml:space="preserve">- Field classes used: **5, 15, 25, 100, 200**</w:t>
      </w:r>
      <w:r>
        <w:br/>
      </w:r>
      <w:r>
        <w:rPr>
          <w:rStyle w:val="VerbatimChar"/>
        </w:rPr>
        <w:t xml:space="preserve">- **200 = 200 or more** — dense patches are not counted stem-by-stem and can represent thousands of individuals</w:t>
      </w:r>
    </w:p>
    <w:p>
      <w:pPr>
        <w:pStyle w:val="FirstParagraph"/>
      </w:pPr>
      <w:r>
        <w:t xml:space="preserve">The interactive map above provides the primary visualization of pepperweed distribution patterns.</w:t>
      </w:r>
    </w:p>
    <w:bookmarkStart w:id="35" w:name="recent-sites"/>
    <w:p>
      <w:pPr>
        <w:pStyle w:val="Titre3"/>
      </w:pPr>
      <w:r>
        <w:t xml:space="preserve">2.1.1 Recent Sites</w:t>
      </w:r>
    </w:p>
    <w:p>
      <w:pPr>
        <w:pStyle w:val="FirstParagraph"/>
      </w:pPr>
      <w:r>
        <w:drawing>
          <wp:inline>
            <wp:extent cx="5753100" cy="18583131"/>
            <wp:effectExtent b="0" l="0" r="0" t="0"/>
            <wp:docPr descr="" title="" id="33" name="Picture"/>
            <a:graphic>
              <a:graphicData uri="http://schemas.openxmlformats.org/drawingml/2006/picture">
                <pic:pic>
                  <pic:nvPicPr>
                    <pic:cNvPr descr="index_files/figure-docx/new-sites-1.png" id="34" name="Picture"/>
                    <pic:cNvPicPr>
                      <a:picLocks noChangeArrowheads="1" noChangeAspect="1"/>
                    </pic:cNvPicPr>
                  </pic:nvPicPr>
                  <pic:blipFill>
                    <a:blip r:embed="rId32"/>
                    <a:stretch>
                      <a:fillRect/>
                    </a:stretch>
                  </pic:blipFill>
                  <pic:spPr bwMode="auto">
                    <a:xfrm>
                      <a:off x="0" y="0"/>
                      <a:ext cx="5753100" cy="18583131"/>
                    </a:xfrm>
                    <a:prstGeom prst="rect">
                      <a:avLst/>
                    </a:prstGeom>
                    <a:noFill/>
                    <a:ln w="9525">
                      <a:noFill/>
                      <a:headEnd/>
                      <a:tailEnd/>
                    </a:ln>
                  </pic:spPr>
                </pic:pic>
              </a:graphicData>
            </a:graphic>
          </wp:inline>
        </w:drawing>
      </w:r>
    </w:p>
    <w:bookmarkEnd w:id="35"/>
    <w:bookmarkEnd w:id="36"/>
    <w:bookmarkEnd w:id="37"/>
    <w:bookmarkStart w:id="40" w:name="data-quality-and-limitations"/>
    <w:p>
      <w:pPr>
        <w:pStyle w:val="Titre1"/>
      </w:pPr>
      <w:r>
        <w:t xml:space="preserve">3. Data Quality and Limitations</w:t>
      </w:r>
    </w:p>
    <w:bookmarkStart w:id="38" w:name="data-sources"/>
    <w:p>
      <w:pPr>
        <w:pStyle w:val="Titre2"/>
      </w:pPr>
      <w:r>
        <w:t xml:space="preserve">3.1 Data Sources</w:t>
      </w:r>
    </w:p>
    <w:p>
      <w:pPr>
        <w:numPr>
          <w:ilvl w:val="0"/>
          <w:numId w:val="1002"/>
        </w:numPr>
      </w:pPr>
      <w:r>
        <w:rPr>
          <w:b/>
          <w:bCs/>
        </w:rPr>
        <w:t xml:space="preserve">Primary Source</w:t>
      </w:r>
      <w:r>
        <w:t xml:space="preserve">:</w:t>
      </w:r>
      <w:r>
        <w:t xml:space="preserve"> </w:t>
      </w:r>
      <w:hyperlink r:id="rId21">
        <w:r>
          <w:rPr>
            <w:rStyle w:val="Hyperlink"/>
          </w:rPr>
          <w:t xml:space="preserve">ArcGIS Online Noxious Weeds 2025 Feature Service</w:t>
        </w:r>
      </w:hyperlink>
    </w:p>
    <w:p>
      <w:pPr>
        <w:numPr>
          <w:ilvl w:val="0"/>
          <w:numId w:val="1002"/>
        </w:numPr>
      </w:pPr>
      <w:r>
        <w:rPr>
          <w:b/>
          <w:bCs/>
        </w:rPr>
        <w:t xml:space="preserve">Last Updated</w:t>
      </w:r>
      <w:r>
        <w:t xml:space="preserve">: August 11, 2025</w:t>
      </w:r>
    </w:p>
    <w:p>
      <w:pPr>
        <w:numPr>
          <w:ilvl w:val="0"/>
          <w:numId w:val="1002"/>
        </w:numPr>
      </w:pPr>
      <w:r>
        <w:rPr>
          <w:b/>
          <w:bCs/>
        </w:rPr>
        <w:t xml:space="preserve">Coordinate System</w:t>
      </w:r>
      <w:r>
        <w:t xml:space="preserve">: WGS84 (EPSG:4326)</w:t>
      </w:r>
    </w:p>
    <w:bookmarkEnd w:id="38"/>
    <w:bookmarkStart w:id="39" w:name="limitations"/>
    <w:p>
      <w:pPr>
        <w:pStyle w:val="Titre2"/>
      </w:pPr>
      <w:r>
        <w:t xml:space="preserve">3.2 Limitations</w:t>
      </w:r>
    </w:p>
    <w:p>
      <w:pPr>
        <w:pStyle w:val="Compact"/>
        <w:numPr>
          <w:ilvl w:val="0"/>
          <w:numId w:val="1003"/>
        </w:numPr>
      </w:pPr>
      <w:r>
        <w:t xml:space="preserve">Data represents documented observations only</w:t>
      </w:r>
    </w:p>
    <w:p>
      <w:pPr>
        <w:pStyle w:val="Compact"/>
        <w:numPr>
          <w:ilvl w:val="0"/>
          <w:numId w:val="1003"/>
        </w:numPr>
      </w:pPr>
      <w:r>
        <w:t xml:space="preserve">Population estimates may vary based on survey timing and conditions</w:t>
      </w:r>
    </w:p>
    <w:p>
      <w:pPr>
        <w:pStyle w:val="Compact"/>
        <w:numPr>
          <w:ilvl w:val="0"/>
          <w:numId w:val="1003"/>
        </w:numPr>
      </w:pPr>
      <w:r>
        <w:t xml:space="preserve">Some areas may be under-sampled due to access constraints</w:t>
      </w:r>
    </w:p>
    <w:p>
      <w:pPr>
        <w:pStyle w:val="Compact"/>
        <w:numPr>
          <w:ilvl w:val="0"/>
          <w:numId w:val="1003"/>
        </w:numPr>
      </w:pPr>
      <w:r>
        <w:t xml:space="preserve">Abundance is recorded in field estimate classes (</w:t>
      </w:r>
      <w:r>
        <w:rPr>
          <w:b/>
          <w:bCs/>
        </w:rPr>
        <w:t xml:space="preserve">5, 15, 25, 100, 200</w:t>
      </w:r>
      <w:r>
        <w:t xml:space="preserve">);</w:t>
      </w:r>
      <w:r>
        <w:t xml:space="preserve"> </w:t>
      </w:r>
      <w:r>
        <w:rPr>
          <w:b/>
          <w:bCs/>
        </w:rPr>
        <w:t xml:space="preserve">200 means ≥200 plants</w:t>
      </w:r>
      <w:r>
        <w:t xml:space="preserve"> </w:t>
      </w:r>
      <w:r>
        <w:t xml:space="preserve">and dense stands may contain thousands of individuals</w:t>
      </w:r>
    </w:p>
    <w:bookmarkEnd w:id="39"/>
    <w:bookmarkEnd w:id="40"/>
    <w:bookmarkStart w:id="44" w:name="river-reach-analysis"/>
    <w:p>
      <w:pPr>
        <w:pStyle w:val="Titre1"/>
      </w:pPr>
      <w:r>
        <w:t xml:space="preserve">4. River Reach Analysis</w:t>
      </w:r>
    </w:p>
    <w:p>
      <w:pPr>
        <w:pStyle w:val="SourceCode"/>
      </w:pPr>
      <w:r>
        <w:rPr>
          <w:rStyle w:val="VerbatimChar"/>
        </w:rPr>
        <w:t xml:space="preserve">Number of river reaches loaded: 6 </w:t>
      </w:r>
    </w:p>
    <w:p>
      <w:pPr>
        <w:pStyle w:val="SourceCode"/>
      </w:pPr>
      <w:r>
        <w:rPr>
          <w:rStyle w:val="VerbatimChar"/>
        </w:rPr>
        <w:t xml:space="preserve">Reach names: LORP Reach 1 LORP Reach 2 LORP Reach 3 LORP Reach 4 LORP Reach 5 LORP Reach 6 </w:t>
      </w:r>
    </w:p>
    <w:p>
      <w:pPr>
        <w:pStyle w:val="SourceCode"/>
      </w:pPr>
      <w:r>
        <w:rPr>
          <w:rStyle w:val="VerbatimChar"/>
        </w:rPr>
        <w:t xml:space="preserve">Sites before filtering: 1647 </w:t>
      </w:r>
    </w:p>
    <w:p>
      <w:pPr>
        <w:pStyle w:val="SourceCode"/>
      </w:pPr>
      <w:r>
        <w:rPr>
          <w:rStyle w:val="VerbatimChar"/>
        </w:rPr>
        <w:t xml:space="preserve">Sites after spatial join: 1647 </w:t>
      </w:r>
    </w:p>
    <w:p>
      <w:pPr>
        <w:pStyle w:val="SourceCode"/>
      </w:pPr>
      <w:r>
        <w:rPr>
          <w:rStyle w:val="VerbatimChar"/>
        </w:rPr>
        <w:t xml:space="preserve">Sites with reach assignments: 1647 </w:t>
      </w:r>
    </w:p>
    <w:p>
      <w:pPr>
        <w:pStyle w:val="FirstParagraph"/>
      </w:pPr>
      <w:r>
        <w:drawing>
          <wp:inline>
            <wp:extent cx="5753100" cy="5393531"/>
            <wp:effectExtent b="0" l="0" r="0" t="0"/>
            <wp:docPr descr="" title="" id="42" name="Picture"/>
            <a:graphic>
              <a:graphicData uri="http://schemas.openxmlformats.org/drawingml/2006/picture">
                <pic:pic>
                  <pic:nvPicPr>
                    <pic:cNvPr descr="index_files/figure-docx/river-reach-analysis-1.png" id="43" name="Picture"/>
                    <pic:cNvPicPr>
                      <a:picLocks noChangeArrowheads="1" noChangeAspect="1"/>
                    </pic:cNvPicPr>
                  </pic:nvPicPr>
                  <pic:blipFill>
                    <a:blip r:embed="rId41"/>
                    <a:stretch>
                      <a:fillRect/>
                    </a:stretch>
                  </pic:blipFill>
                  <pic:spPr bwMode="auto">
                    <a:xfrm>
                      <a:off x="0" y="0"/>
                      <a:ext cx="5753100" cy="5393531"/>
                    </a:xfrm>
                    <a:prstGeom prst="rect">
                      <a:avLst/>
                    </a:prstGeom>
                    <a:noFill/>
                    <a:ln w="9525">
                      <a:noFill/>
                      <a:headEnd/>
                      <a:tailEnd/>
                    </a:ln>
                  </pic:spPr>
                </pic:pic>
              </a:graphicData>
            </a:graphic>
          </wp:inline>
        </w:drawing>
      </w:r>
    </w:p>
    <w:p>
      <w:pPr>
        <w:pStyle w:val="SourceCode"/>
      </w:pPr>
      <w:r>
        <w:rPr>
          <w:rStyle w:val="VerbatimChar"/>
        </w:rPr>
        <w:t xml:space="preserve">### LORP Reach Distribution Summary</w:t>
      </w:r>
      <w:r>
        <w:br/>
      </w:r>
      <w:r>
        <w:rPr>
          <w:rStyle w:val="VerbatimChar"/>
        </w:rPr>
        <w:t xml:space="preserve">**Total Reaches Analyzed**: 6 </w:t>
      </w:r>
      <w:r>
        <w:br/>
      </w:r>
      <w:r>
        <w:rPr>
          <w:rStyle w:val="VerbatimChar"/>
        </w:rPr>
        <w:t xml:space="preserve">**Years Covered**: 2018 - 2025 </w:t>
      </w:r>
      <w:r>
        <w:br/>
      </w:r>
      <w:r>
        <w:rPr>
          <w:rStyle w:val="VerbatimChar"/>
        </w:rPr>
        <w:t xml:space="preserve">**Reaches with Data**: 6 </w:t>
      </w:r>
      <w:r>
        <w:br/>
      </w:r>
      <w:r>
        <w:br/>
      </w:r>
      <w:r>
        <w:rPr>
          <w:rStyle w:val="VerbatimChar"/>
        </w:rPr>
        <w:t xml:space="preserve">### Reach Activity Summary</w:t>
      </w:r>
      <w:r>
        <w:br/>
      </w:r>
      <w:r>
        <w:rPr>
          <w:rStyle w:val="VerbatimChar"/>
        </w:rPr>
        <w:t xml:space="preserve">- ** LORP Reach 2 **: 999 sites</w:t>
      </w:r>
      <w:r>
        <w:br/>
      </w:r>
      <w:r>
        <w:rPr>
          <w:rStyle w:val="VerbatimChar"/>
        </w:rPr>
        <w:t xml:space="preserve">- ** LORP Reach 3 **: 423 sites</w:t>
      </w:r>
      <w:r>
        <w:br/>
      </w:r>
      <w:r>
        <w:rPr>
          <w:rStyle w:val="VerbatimChar"/>
        </w:rPr>
        <w:t xml:space="preserve">- ** LORP Reach 1 **: 163 sites</w:t>
      </w:r>
      <w:r>
        <w:br/>
      </w:r>
      <w:r>
        <w:rPr>
          <w:rStyle w:val="VerbatimChar"/>
        </w:rPr>
        <w:t xml:space="preserve">- ** LORP Reach 4 **: 47 sites</w:t>
      </w:r>
      <w:r>
        <w:br/>
      </w:r>
      <w:r>
        <w:rPr>
          <w:rStyle w:val="VerbatimChar"/>
        </w:rPr>
        <w:t xml:space="preserve">- ** LORP Reach 5 **: 12 sites</w:t>
      </w:r>
      <w:r>
        <w:br/>
      </w:r>
      <w:r>
        <w:rPr>
          <w:rStyle w:val="VerbatimChar"/>
        </w:rPr>
        <w:t xml:space="preserve">- ** LORP Reach 6 **: 3 sites</w:t>
      </w:r>
    </w:p>
    <w:bookmarkEnd w:id="44"/>
    <w:bookmarkStart w:id="49" w:name="occupancy-analysis"/>
    <w:p>
      <w:pPr>
        <w:pStyle w:val="Titre1"/>
      </w:pPr>
      <w:r>
        <w:t xml:space="preserve">5. Occupancy Analysis</w:t>
      </w:r>
    </w:p>
    <w:p>
      <w:pPr>
        <w:pStyle w:val="SourceCode"/>
      </w:pPr>
      <w:r>
        <w:rPr>
          <w:rStyle w:val="VerbatimChar"/>
        </w:rPr>
        <w:t xml:space="preserve">### Overall Occupancy Analysis</w:t>
      </w:r>
    </w:p>
    <w:p>
      <w:pPr>
        <w:pStyle w:val="SourceCode"/>
      </w:pPr>
      <w:r>
        <w:rPr>
          <w:rStyle w:val="VerbatimChar"/>
        </w:rPr>
        <w:t xml:space="preserve">**Resolution**: 1/10 mile segments (600 total segments across 60 miles)</w:t>
      </w:r>
    </w:p>
    <w:p>
      <w:pPr>
        <w:pStyle w:val="SourceCode"/>
      </w:pPr>
      <w:r>
        <w:rPr>
          <w:rStyle w:val="VerbatimChar"/>
        </w:rPr>
        <w:t xml:space="preserve">#### Overall Occupancy by Year</w:t>
      </w:r>
    </w:p>
    <w:p>
      <w:pPr>
        <w:pStyle w:val="SourceCode"/>
      </w:pPr>
      <w:r>
        <w:br/>
      </w:r>
      <w:r>
        <w:br/>
      </w:r>
      <w:r>
        <w:rPr>
          <w:rStyle w:val="VerbatimChar"/>
        </w:rPr>
        <w:t xml:space="preserve">Table: Number of 1/10 mile segments occupied by pepperweed</w:t>
      </w:r>
      <w:r>
        <w:br/>
      </w:r>
      <w:r>
        <w:br/>
      </w:r>
      <w:r>
        <w:rPr>
          <w:rStyle w:val="VerbatimChar"/>
        </w:rPr>
        <w:t xml:space="preserve">| Year | Segments Occupied | Total Segments | Occupancy % |</w:t>
      </w:r>
      <w:r>
        <w:br/>
      </w:r>
      <w:r>
        <w:rPr>
          <w:rStyle w:val="VerbatimChar"/>
        </w:rPr>
        <w:t xml:space="preserve">|:----:|:-----------------:|:--------------:|:-----------:|</w:t>
      </w:r>
      <w:r>
        <w:br/>
      </w:r>
      <w:r>
        <w:rPr>
          <w:rStyle w:val="VerbatimChar"/>
        </w:rPr>
        <w:t xml:space="preserve">| 2018 |        15         |      600       |     2.5     |</w:t>
      </w:r>
      <w:r>
        <w:br/>
      </w:r>
      <w:r>
        <w:rPr>
          <w:rStyle w:val="VerbatimChar"/>
        </w:rPr>
        <w:t xml:space="preserve">| 2019 |        74         |      600       |    12.3     |</w:t>
      </w:r>
      <w:r>
        <w:br/>
      </w:r>
      <w:r>
        <w:rPr>
          <w:rStyle w:val="VerbatimChar"/>
        </w:rPr>
        <w:t xml:space="preserve">| 2020 |        86         |      600       |    14.3     |</w:t>
      </w:r>
      <w:r>
        <w:br/>
      </w:r>
      <w:r>
        <w:rPr>
          <w:rStyle w:val="VerbatimChar"/>
        </w:rPr>
        <w:t xml:space="preserve">| 2021 |        21         |      600       |     3.5     |</w:t>
      </w:r>
      <w:r>
        <w:br/>
      </w:r>
      <w:r>
        <w:rPr>
          <w:rStyle w:val="VerbatimChar"/>
        </w:rPr>
        <w:t xml:space="preserve">| 2022 |        37         |      600       |     6.2     |</w:t>
      </w:r>
      <w:r>
        <w:br/>
      </w:r>
      <w:r>
        <w:rPr>
          <w:rStyle w:val="VerbatimChar"/>
        </w:rPr>
        <w:t xml:space="preserve">| 2023 |         1         |      600       |     0.2     |</w:t>
      </w:r>
      <w:r>
        <w:br/>
      </w:r>
      <w:r>
        <w:rPr>
          <w:rStyle w:val="VerbatimChar"/>
        </w:rPr>
        <w:t xml:space="preserve">| 2024 |        87         |      600       |    14.5     |</w:t>
      </w:r>
      <w:r>
        <w:br/>
      </w:r>
      <w:r>
        <w:rPr>
          <w:rStyle w:val="VerbatimChar"/>
        </w:rPr>
        <w:t xml:space="preserve">| 2025 |        145        |      600       |    24.2     |</w:t>
      </w:r>
    </w:p>
    <w:p>
      <w:pPr>
        <w:pStyle w:val="SourceCode"/>
      </w:pPr>
      <w:r>
        <w:br/>
      </w:r>
      <w:r>
        <w:rPr>
          <w:rStyle w:val="VerbatimChar"/>
        </w:rPr>
        <w:t xml:space="preserve">#### Reach-Specific Occupancy</w:t>
      </w:r>
    </w:p>
    <w:p>
      <w:pPr>
        <w:pStyle w:val="SourceCode"/>
      </w:pPr>
      <w:r>
        <w:br/>
      </w:r>
      <w:r>
        <w:br/>
      </w:r>
      <w:r>
        <w:rPr>
          <w:rStyle w:val="VerbatimChar"/>
        </w:rPr>
        <w:t xml:space="preserve">Table: Percentage of each reach occupied by pepperweed (by year)</w:t>
      </w:r>
      <w:r>
        <w:br/>
      </w:r>
      <w:r>
        <w:br/>
      </w:r>
      <w:r>
        <w:rPr>
          <w:rStyle w:val="VerbatimChar"/>
        </w:rPr>
        <w:t xml:space="preserve">|LORP Reach   | 2018 | 2019 | 2020 | 2021 | 2022 | 2023 | 2024 | 2025 |</w:t>
      </w:r>
      <w:r>
        <w:br/>
      </w:r>
      <w:r>
        <w:rPr>
          <w:rStyle w:val="VerbatimChar"/>
        </w:rPr>
        <w:t xml:space="preserve">|:------------|:----:|:----:|:----:|:----:|:----:|:----:|:----:|:----:|</w:t>
      </w:r>
      <w:r>
        <w:br/>
      </w:r>
      <w:r>
        <w:rPr>
          <w:rStyle w:val="VerbatimChar"/>
        </w:rPr>
        <w:t xml:space="preserve">|LORP Reach 1 | 23.7 | 52.6 | 39.5 | 2.6  |  NA  |  NA  | 10.5 | 55.3 |</w:t>
      </w:r>
      <w:r>
        <w:br/>
      </w:r>
      <w:r>
        <w:rPr>
          <w:rStyle w:val="VerbatimChar"/>
        </w:rPr>
        <w:t xml:space="preserve">|LORP Reach 2 | 3.1  | 17.6 | 23.9 | 5.0  | 15.7 |  NA  | 21.4 | 40.3 |</w:t>
      </w:r>
      <w:r>
        <w:br/>
      </w:r>
      <w:r>
        <w:rPr>
          <w:rStyle w:val="VerbatimChar"/>
        </w:rPr>
        <w:t xml:space="preserve">|LORP Reach 3 | 0.7  | 17.6 | 20.3 | 5.4  | 7.4  | 0.7  | 29.1 | 31.8 |</w:t>
      </w:r>
      <w:r>
        <w:br/>
      </w:r>
      <w:r>
        <w:rPr>
          <w:rStyle w:val="VerbatimChar"/>
        </w:rPr>
        <w:t xml:space="preserve">|LORP Reach 4 |  NA  |  NA  | 8.3  | 11.1 | 2.8  |  NA  | 19.4 | 11.1 |</w:t>
      </w:r>
      <w:r>
        <w:br/>
      </w:r>
      <w:r>
        <w:rPr>
          <w:rStyle w:val="VerbatimChar"/>
        </w:rPr>
        <w:t xml:space="preserve">|LORP Reach 5 |  NA  |  NA  |  NA  |  NA  |  NA  |  NA  | 2.9  | 17.6 |</w:t>
      </w:r>
      <w:r>
        <w:br/>
      </w:r>
      <w:r>
        <w:rPr>
          <w:rStyle w:val="VerbatimChar"/>
        </w:rPr>
        <w:t xml:space="preserve">|LORP Reach 6 |  NA  |  NA  |  NA  |  NA  |  NA  |  NA  |  NA  | 8.1  |</w:t>
      </w:r>
    </w:p>
    <w:p>
      <w:pPr>
        <w:pStyle w:val="SourceCode"/>
      </w:pPr>
      <w:r>
        <w:br/>
      </w:r>
      <w:r>
        <w:rPr>
          <w:rStyle w:val="VerbatimChar"/>
        </w:rPr>
        <w:t xml:space="preserve">### Occupancy Summary Statistics</w:t>
      </w:r>
    </w:p>
    <w:p>
      <w:pPr>
        <w:pStyle w:val="SourceCode"/>
      </w:pPr>
      <w:r>
        <w:rPr>
          <w:rStyle w:val="VerbatimChar"/>
        </w:rPr>
        <w:t xml:space="preserve">**Average Annual Occupancy**: 9.7 %</w:t>
      </w:r>
    </w:p>
    <w:p>
      <w:pPr>
        <w:pStyle w:val="SourceCode"/>
      </w:pPr>
      <w:r>
        <w:rPr>
          <w:rStyle w:val="VerbatimChar"/>
        </w:rPr>
        <w:t xml:space="preserve">**Highest Occupancy Year**: 2025 ( 24.2 %)</w:t>
      </w:r>
    </w:p>
    <w:p>
      <w:pPr>
        <w:pStyle w:val="SourceCode"/>
      </w:pPr>
      <w:r>
        <w:rPr>
          <w:rStyle w:val="VerbatimChar"/>
        </w:rPr>
        <w:t xml:space="preserve">**Lowest Occupancy Year**: 2023 ( 0.2 %)</w:t>
      </w:r>
    </w:p>
    <w:p>
      <w:pPr>
        <w:pStyle w:val="SourceCode"/>
      </w:pPr>
      <w:r>
        <w:br/>
      </w:r>
      <w:r>
        <w:rPr>
          <w:rStyle w:val="VerbatimChar"/>
        </w:rPr>
        <w:t xml:space="preserve">**Most Occupied Reach**: LORP Reach 1 ( 30.7 % average)</w:t>
      </w:r>
    </w:p>
    <w:p>
      <w:pPr>
        <w:pStyle w:val="SourceCode"/>
      </w:pPr>
      <w:r>
        <w:rPr>
          <w:rStyle w:val="VerbatimChar"/>
        </w:rPr>
        <w:t xml:space="preserve">**Least Occupied Reach**: LORP Reach 6 ( 8.1 % average)</w:t>
      </w:r>
    </w:p>
    <w:bookmarkStart w:id="48" w:name="X0e199f324500ea33e403fc235205799c6e02c9f"/>
    <w:p>
      <w:pPr>
        <w:pStyle w:val="Titre2"/>
      </w:pPr>
      <w:r>
        <w:t xml:space="preserve">5.1 Cumulative Discovery and Occupancy Forecasts</w:t>
      </w:r>
    </w:p>
    <w:p>
      <w:pPr>
        <w:pStyle w:val="FirstParagraph"/>
      </w:pPr>
      <w:r>
        <w:t xml:space="preserve">Annual occupancy fluctuates with survey effort. A more informative metric for the</w:t>
      </w:r>
      <w:r>
        <w:t xml:space="preserve"> </w:t>
      </w:r>
      <w:r>
        <w:t xml:space="preserve">“more you look, the more you find”</w:t>
      </w:r>
      <w:r>
        <w:t xml:space="preserve"> </w:t>
      </w:r>
      <w:r>
        <w:t xml:space="preserve">pattern is</w:t>
      </w:r>
      <w:r>
        <w:t xml:space="preserve"> </w:t>
      </w:r>
      <w:r>
        <w:rPr>
          <w:b/>
          <w:bCs/>
        </w:rPr>
        <w:t xml:space="preserve">cumulative discovery</w:t>
      </w:r>
      <w:r>
        <w:t xml:space="preserve">: the share of corridor segments that have ever had a detection. Pepperweed is already widespread on adjacent conveyances and upper-river reaches, so the planning question is when known occupancy along the LORP corridor approaches saturation.</w:t>
      </w:r>
    </w:p>
    <w:p>
      <w:pPr>
        <w:pStyle w:val="SourceCode"/>
      </w:pPr>
      <w:r>
        <w:rPr>
          <w:rStyle w:val="VerbatimChar"/>
        </w:rPr>
        <w:t xml:space="preserve">### Cumulative Discovery by Year</w:t>
      </w:r>
    </w:p>
    <w:p>
      <w:pPr>
        <w:pStyle w:val="SourceCode"/>
      </w:pPr>
      <w:r>
        <w:rPr>
          <w:rStyle w:val="VerbatimChar"/>
        </w:rPr>
        <w:t xml:space="preserve">Once a segment or river mile has a detection, it remains in the cumulative total. This isolates discovery/spread from year-to-year survey intensity.</w:t>
      </w:r>
    </w:p>
    <w:p>
      <w:pPr>
        <w:pStyle w:val="SourceCode"/>
      </w:pPr>
      <w:r>
        <w:br/>
      </w:r>
      <w:r>
        <w:br/>
      </w:r>
      <w:r>
        <w:rPr>
          <w:rStyle w:val="VerbatimChar"/>
        </w:rPr>
        <w:t xml:space="preserve">Table: Cumulative pepperweed discovery along the LORP corridor (0.1-mi segments and whole river miles)</w:t>
      </w:r>
      <w:r>
        <w:br/>
      </w:r>
      <w:r>
        <w:br/>
      </w:r>
      <w:r>
        <w:rPr>
          <w:rStyle w:val="VerbatimChar"/>
        </w:rPr>
        <w:t xml:space="preserve">| Year | Segments Known | New Segments | Segment % | Miles Known | New Miles | Mile % |</w:t>
      </w:r>
      <w:r>
        <w:br/>
      </w:r>
      <w:r>
        <w:rPr>
          <w:rStyle w:val="VerbatimChar"/>
        </w:rPr>
        <w:t xml:space="preserve">|:----:|:--------------:|:------------:|:---------:|:-----------:|:---------:|:------:|</w:t>
      </w:r>
      <w:r>
        <w:br/>
      </w:r>
      <w:r>
        <w:rPr>
          <w:rStyle w:val="VerbatimChar"/>
        </w:rPr>
        <w:t xml:space="preserve">| 2018 |       15       |      15      |    2.5    |      8      |     8     |  13.1  |</w:t>
      </w:r>
      <w:r>
        <w:br/>
      </w:r>
      <w:r>
        <w:rPr>
          <w:rStyle w:val="VerbatimChar"/>
        </w:rPr>
        <w:t xml:space="preserve">| 2019 |       75       |      60      |   12.5    |     18      |    10     |  29.5  |</w:t>
      </w:r>
      <w:r>
        <w:br/>
      </w:r>
      <w:r>
        <w:rPr>
          <w:rStyle w:val="VerbatimChar"/>
        </w:rPr>
        <w:t xml:space="preserve">| 2020 |      100       |      25      |   16.7    |     22      |     4     |  36.1  |</w:t>
      </w:r>
      <w:r>
        <w:br/>
      </w:r>
      <w:r>
        <w:rPr>
          <w:rStyle w:val="VerbatimChar"/>
        </w:rPr>
        <w:t xml:space="preserve">| 2021 |      107       |      7       |   17.8    |     25      |     3     |  41.0  |</w:t>
      </w:r>
      <w:r>
        <w:br/>
      </w:r>
      <w:r>
        <w:rPr>
          <w:rStyle w:val="VerbatimChar"/>
        </w:rPr>
        <w:t xml:space="preserve">| 2022 |      127       |      20      |   21.2    |     29      |     4     |  47.5  |</w:t>
      </w:r>
      <w:r>
        <w:br/>
      </w:r>
      <w:r>
        <w:rPr>
          <w:rStyle w:val="VerbatimChar"/>
        </w:rPr>
        <w:t xml:space="preserve">| 2023 |      128       |      1       |   21.3    |     30      |     1     |  49.2  |</w:t>
      </w:r>
      <w:r>
        <w:br/>
      </w:r>
      <w:r>
        <w:rPr>
          <w:rStyle w:val="VerbatimChar"/>
        </w:rPr>
        <w:t xml:space="preserve">| 2024 |      159       |      31      |   26.5    |     35      |     5     |  57.4  |</w:t>
      </w:r>
      <w:r>
        <w:br/>
      </w:r>
      <w:r>
        <w:rPr>
          <w:rStyle w:val="VerbatimChar"/>
        </w:rPr>
        <w:t xml:space="preserve">| 2025 |      204       |      45      |   34.0    |     44      |     9     |  72.1  |</w:t>
      </w:r>
    </w:p>
    <w:p>
      <w:pPr>
        <w:pStyle w:val="SourceCode"/>
      </w:pPr>
      <w:r>
        <w:br/>
      </w:r>
      <w:r>
        <w:rPr>
          <w:rStyle w:val="VerbatimChar"/>
        </w:rPr>
        <w:t xml:space="preserve">### Forecast to Corridor Saturation</w:t>
      </w:r>
    </w:p>
    <w:p>
      <w:pPr>
        <w:pStyle w:val="SourceCode"/>
      </w:pPr>
      <w:r>
        <w:rPr>
          <w:rStyle w:val="VerbatimChar"/>
        </w:rPr>
        <w:t xml:space="preserve">Models fit to cumulative occupancy and projected forward:</w:t>
      </w:r>
    </w:p>
    <w:p>
      <w:pPr>
        <w:pStyle w:val="SourceCode"/>
      </w:pPr>
      <w:r>
        <w:rPr>
          <w:rStyle w:val="VerbatimChar"/>
        </w:rPr>
        <w:t xml:space="preserve">- **Linear** — constant annual discovery rate; reaches 100% in finite time.</w:t>
      </w:r>
    </w:p>
    <w:p>
      <w:pPr>
        <w:pStyle w:val="SourceCode"/>
      </w:pPr>
      <w:r>
        <w:rPr>
          <w:rStyle w:val="VerbatimChar"/>
        </w:rPr>
        <w:t xml:space="preserve">- **Asymptotic** — approaches 100% with diminishing returns (classic discovery / sampling plateau).</w:t>
      </w:r>
    </w:p>
    <w:p>
      <w:pPr>
        <w:pStyle w:val="SourceCode"/>
      </w:pPr>
      <w:r>
        <w:rPr>
          <w:rStyle w:val="VerbatimChar"/>
        </w:rPr>
        <w:t xml:space="preserve">- **Logistic** — S-curve to a 100% carrying capacity; slows as unoccupied corridor shrinks.</w:t>
      </w:r>
    </w:p>
    <w:p>
      <w:pPr>
        <w:pStyle w:val="SourceCode"/>
      </w:pPr>
      <w:r>
        <w:rPr>
          <w:rStyle w:val="VerbatimChar"/>
        </w:rPr>
        <w:t xml:space="preserve">- **Recent trajectory (whole miles)** — slope from the last two survey years only; tests the hypothesis that pepperweed is already more ubiquitous than the full-series fit implies, and limited annual effort is still revealing occupied miles quickly.</w:t>
      </w:r>
    </w:p>
    <w:p>
      <w:pPr>
        <w:pStyle w:val="SourceCode"/>
      </w:pPr>
      <w:r>
        <w:rPr>
          <w:rStyle w:val="VerbatimChar"/>
        </w:rPr>
        <w:t xml:space="preserve">Pepperweed is already common on nearby ditches, streams, and upper-river reaches; these forecasts treat the LORP corridor as filling toward full known occupancy under continued survey and/or spread.</w:t>
      </w:r>
    </w:p>
    <w:p>
      <w:pPr>
        <w:pStyle w:val="SourceCode"/>
      </w:pPr>
      <w:r>
        <w:br/>
      </w:r>
      <w:r>
        <w:br/>
      </w:r>
      <w:r>
        <w:rPr>
          <w:rStyle w:val="VerbatimChar"/>
        </w:rPr>
        <w:t xml:space="preserve">Table: Projected calendar year when cumulative occupancy reaches each milestone (fit to 2018–2025 discovery)</w:t>
      </w:r>
      <w:r>
        <w:br/>
      </w:r>
      <w:r>
        <w:br/>
      </w:r>
      <w:r>
        <w:rPr>
          <w:rStyle w:val="VerbatimChar"/>
        </w:rPr>
        <w:t xml:space="preserve">|Resolution        |Occupancy Milestone | Linear | Asymptotic | Logistic |</w:t>
      </w:r>
      <w:r>
        <w:br/>
      </w:r>
      <w:r>
        <w:rPr>
          <w:rStyle w:val="VerbatimChar"/>
        </w:rPr>
        <w:t xml:space="preserve">|:-----------------|:-------------------|:------:|:----------:|:--------:|</w:t>
      </w:r>
      <w:r>
        <w:br/>
      </w:r>
      <w:r>
        <w:rPr>
          <w:rStyle w:val="VerbatimChar"/>
        </w:rPr>
        <w:t xml:space="preserve">|0.1-mi segments   |50%                 | 2029.9 |   2032.0   |  2028.0  |</w:t>
      </w:r>
      <w:r>
        <w:br/>
      </w:r>
      <w:r>
        <w:rPr>
          <w:rStyle w:val="VerbatimChar"/>
        </w:rPr>
        <w:t xml:space="preserve">|0.1-mi segments   |75%                 | 2036.8 |   2047.2   |  2032.7  |</w:t>
      </w:r>
      <w:r>
        <w:br/>
      </w:r>
      <w:r>
        <w:rPr>
          <w:rStyle w:val="VerbatimChar"/>
        </w:rPr>
        <w:t xml:space="preserve">|0.1-mi segments   |90%                 | 2040.9 |   2067.4   |  2037.3  |</w:t>
      </w:r>
      <w:r>
        <w:br/>
      </w:r>
      <w:r>
        <w:rPr>
          <w:rStyle w:val="VerbatimChar"/>
        </w:rPr>
        <w:t xml:space="preserve">|0.1-mi segments   |95%                 | 2042.2 |   2082.7   |  2040.5  |</w:t>
      </w:r>
      <w:r>
        <w:br/>
      </w:r>
      <w:r>
        <w:rPr>
          <w:rStyle w:val="VerbatimChar"/>
        </w:rPr>
        <w:t xml:space="preserve">|0.1-mi segments   |99%                 | 2043.3 |   2118.1   |  2047.5  |</w:t>
      </w:r>
      <w:r>
        <w:br/>
      </w:r>
      <w:r>
        <w:rPr>
          <w:rStyle w:val="VerbatimChar"/>
        </w:rPr>
        <w:t xml:space="preserve">|0.1-mi segments   |100% (linear only)  | 2043.6 |     NA     |    NA    |</w:t>
      </w:r>
      <w:r>
        <w:br/>
      </w:r>
      <w:r>
        <w:rPr>
          <w:rStyle w:val="VerbatimChar"/>
        </w:rPr>
        <w:t xml:space="preserve">|Whole river miles |50%                 | 2022.4 |   2022.2   |  2022.5  |</w:t>
      </w:r>
      <w:r>
        <w:br/>
      </w:r>
      <w:r>
        <w:rPr>
          <w:rStyle w:val="VerbatimChar"/>
        </w:rPr>
        <w:t xml:space="preserve">|Whole river miles |75%                 | 2026.0 |   2027.7   |  2026.1  |</w:t>
      </w:r>
      <w:r>
        <w:br/>
      </w:r>
      <w:r>
        <w:rPr>
          <w:rStyle w:val="VerbatimChar"/>
        </w:rPr>
        <w:t xml:space="preserve">|Whole river miles |90%                 | 2028.1 |   2035.0   |  2029.8  |</w:t>
      </w:r>
      <w:r>
        <w:br/>
      </w:r>
      <w:r>
        <w:rPr>
          <w:rStyle w:val="VerbatimChar"/>
        </w:rPr>
        <w:t xml:space="preserve">|Whole river miles |95%                 | 2028.8 |   2040.6   |  2032.2  |</w:t>
      </w:r>
      <w:r>
        <w:br/>
      </w:r>
      <w:r>
        <w:rPr>
          <w:rStyle w:val="VerbatimChar"/>
        </w:rPr>
        <w:t xml:space="preserve">|Whole river miles |99%                 | 2029.3 |   2053.4   |  2037.7  |</w:t>
      </w:r>
      <w:r>
        <w:br/>
      </w:r>
      <w:r>
        <w:rPr>
          <w:rStyle w:val="VerbatimChar"/>
        </w:rPr>
        <w:t xml:space="preserve">|Whole river miles |100% (linear only)  | 2029.5 |     NA     |    NA    |</w:t>
      </w:r>
    </w:p>
    <w:p>
      <w:pPr>
        <w:pStyle w:val="SourceCode"/>
      </w:pPr>
      <w:r>
        <w:br/>
      </w:r>
      <w:r>
        <w:rPr>
          <w:rStyle w:val="VerbatimChar"/>
        </w:rPr>
        <w:t xml:space="preserve">#### Infill lag (whole mile → 0.1-mi segment)</w:t>
      </w:r>
    </w:p>
    <w:p>
      <w:pPr>
        <w:pStyle w:val="SourceCode"/>
      </w:pPr>
      <w:r>
        <w:rPr>
          <w:rStyle w:val="VerbatimChar"/>
        </w:rPr>
        <w:t xml:space="preserve">The **horizontal gap** between the blue (whole-mile) and red (0.1-mi) logistic curves is the years of additional discovery needed to occupy every subsegment once whole-mile occupancy has already reached that level.</w:t>
      </w:r>
    </w:p>
    <w:p>
      <w:pPr>
        <w:pStyle w:val="SourceCode"/>
      </w:pPr>
      <w:r>
        <w:br/>
      </w:r>
      <w:r>
        <w:br/>
      </w:r>
      <w:r>
        <w:rPr>
          <w:rStyle w:val="VerbatimChar"/>
        </w:rPr>
        <w:t xml:space="preserve">Table: Time lag between whole-mile and subsegment occupancy (logistic forecasts)</w:t>
      </w:r>
      <w:r>
        <w:br/>
      </w:r>
      <w:r>
        <w:br/>
      </w:r>
      <w:r>
        <w:rPr>
          <w:rStyle w:val="VerbatimChar"/>
        </w:rPr>
        <w:t xml:space="preserve">| Occupancy level | Whole-mile year | 0.1-mi year | Lag (yr) |Interpretation                                        |</w:t>
      </w:r>
      <w:r>
        <w:br/>
      </w:r>
      <w:r>
        <w:rPr>
          <w:rStyle w:val="VerbatimChar"/>
        </w:rPr>
        <w:t xml:space="preserve">|:---------------:|:---------------:|:-----------:|:--------:|:-----------------------------------------------------|</w:t>
      </w:r>
      <w:r>
        <w:br/>
      </w:r>
      <w:r>
        <w:rPr>
          <w:rStyle w:val="VerbatimChar"/>
        </w:rPr>
        <w:t xml:space="preserve">|       50%       |     2022.5      |   2028.0    |   5.5    |~5.5 yr to fill 0.1-mi gaps after whole miles hit 50% |</w:t>
      </w:r>
      <w:r>
        <w:br/>
      </w:r>
      <w:r>
        <w:rPr>
          <w:rStyle w:val="VerbatimChar"/>
        </w:rPr>
        <w:t xml:space="preserve">|       75%       |     2026.1      |   2032.7    |   6.6    |~6.6 yr to fill 0.1-mi gaps after whole miles hit 75% |</w:t>
      </w:r>
      <w:r>
        <w:br/>
      </w:r>
      <w:r>
        <w:rPr>
          <w:rStyle w:val="VerbatimChar"/>
        </w:rPr>
        <w:t xml:space="preserve">|       90%       |     2029.8      |   2037.3    |   7.5    |~7.5 yr to fill 0.1-mi gaps after whole miles hit 90% |</w:t>
      </w:r>
    </w:p>
    <w:p>
      <w:pPr>
        <w:pStyle w:val="SourceCode"/>
      </w:pPr>
      <w:r>
        <w:br/>
      </w:r>
      <w:r>
        <w:rPr>
          <w:rStyle w:val="VerbatimChar"/>
        </w:rPr>
        <w:t xml:space="preserve">#### Model Fit Summary</w:t>
      </w:r>
    </w:p>
    <w:p>
      <w:pPr>
        <w:pStyle w:val="SourceCode"/>
      </w:pPr>
      <w:r>
        <w:rPr>
          <w:rStyle w:val="VerbatimChar"/>
        </w:rPr>
        <w:t xml:space="preserve">- **Segment linear**: +3.7 percentage points/year → 100% in ~2044</w:t>
      </w:r>
    </w:p>
    <w:p>
      <w:pPr>
        <w:pStyle w:val="SourceCode"/>
      </w:pPr>
      <w:r>
        <w:rPr>
          <w:rStyle w:val="VerbatimChar"/>
        </w:rPr>
        <w:t xml:space="preserve">- **Mile linear (full series)**: +7.1 percentage points/year → 100% in ~2029</w:t>
      </w:r>
    </w:p>
    <w:p>
      <w:pPr>
        <w:pStyle w:val="SourceCode"/>
      </w:pPr>
      <w:r>
        <w:rPr>
          <w:rStyle w:val="VerbatimChar"/>
        </w:rPr>
        <w:t xml:space="preserve">- **Mile recent trajectory (last 2 yr)**: +11.5 percentage points/year → 100% in ~2028</w:t>
      </w:r>
    </w:p>
    <w:p>
      <w:pPr>
        <w:pStyle w:val="SourceCode"/>
      </w:pPr>
      <w:r>
        <w:rPr>
          <w:rStyle w:val="VerbatimChar"/>
        </w:rPr>
        <w:t xml:space="preserve">- **Segment logistic**: midpoint (50%) ~2028; 95% ~2041</w:t>
      </w:r>
    </w:p>
    <w:p>
      <w:pPr>
        <w:pStyle w:val="SourceCode"/>
      </w:pPr>
      <w:r>
        <w:rPr>
          <w:rStyle w:val="VerbatimChar"/>
        </w:rPr>
        <w:t xml:space="preserve">- **Mile logistic**: midpoint (50%) ~2022; 95% ~2032</w:t>
      </w:r>
    </w:p>
    <w:p>
      <w:pPr>
        <w:pStyle w:val="SourceCode"/>
      </w:pPr>
      <w:r>
        <w:br/>
      </w:r>
      <w:r>
        <w:rPr>
          <w:rStyle w:val="VerbatimChar"/>
        </w:rPr>
        <w:t xml:space="preserve">**Current cumulative occupancy (2025)**: 34.0% of 0.1-mi segments; 72.1% of whole river miles.</w:t>
      </w:r>
    </w:p>
    <w:p>
      <w:pPr>
        <w:pStyle w:val="FirstParagraph"/>
      </w:pPr>
      <w:r>
        <w:drawing>
          <wp:inline>
            <wp:extent cx="5753100" cy="3355975"/>
            <wp:effectExtent b="0" l="0" r="0" t="0"/>
            <wp:docPr descr="" title="" id="46" name="Picture"/>
            <a:graphic>
              <a:graphicData uri="http://schemas.openxmlformats.org/drawingml/2006/picture">
                <pic:pic>
                  <pic:nvPicPr>
                    <pic:cNvPr descr="index_files/figure-docx/occupancy-forecast-1.png" id="47" name="Picture"/>
                    <pic:cNvPicPr>
                      <a:picLocks noChangeArrowheads="1" noChangeAspect="1"/>
                    </pic:cNvPicPr>
                  </pic:nvPicPr>
                  <pic:blipFill>
                    <a:blip r:embed="rId45"/>
                    <a:stretch>
                      <a:fillRect/>
                    </a:stretch>
                  </pic:blipFill>
                  <pic:spPr bwMode="auto">
                    <a:xfrm>
                      <a:off x="0" y="0"/>
                      <a:ext cx="5753100" cy="3355975"/>
                    </a:xfrm>
                    <a:prstGeom prst="rect">
                      <a:avLst/>
                    </a:prstGeom>
                    <a:noFill/>
                    <a:ln w="9525">
                      <a:noFill/>
                      <a:headEnd/>
                      <a:tailEnd/>
                    </a:ln>
                  </pic:spPr>
                </pic:pic>
              </a:graphicData>
            </a:graphic>
          </wp:inline>
        </w:drawing>
      </w:r>
    </w:p>
    <w:p>
      <w:pPr>
        <w:pStyle w:val="SourceCode"/>
      </w:pPr>
      <w:r>
        <w:br/>
      </w:r>
      <w:r>
        <w:rPr>
          <w:rStyle w:val="VerbatimChar"/>
        </w:rPr>
        <w:t xml:space="preserve">### Interpretation</w:t>
      </w:r>
    </w:p>
    <w:p>
      <w:pPr>
        <w:pStyle w:val="SourceCode"/>
      </w:pPr>
      <w:r>
        <w:rPr>
          <w:rStyle w:val="VerbatimChar"/>
        </w:rPr>
        <w:t xml:space="preserve">- **Whole-mile occupancy** is already high (~72.1% known), consistent with pepperweed being fairly ubiquitous along the corridor at coarse scale.</w:t>
      </w:r>
    </w:p>
    <w:p>
      <w:pPr>
        <w:pStyle w:val="SourceCode"/>
      </w:pPr>
      <w:r>
        <w:rPr>
          <w:rStyle w:val="VerbatimChar"/>
        </w:rPr>
        <w:t xml:space="preserve">- **0.1-mile occupancy** remains lower (~34%). The annotated horizontal gaps are the expected years of additional surveying/spread before every subsegment is known occupied at that same occupancy level.</w:t>
      </w:r>
    </w:p>
    <w:p>
      <w:pPr>
        <w:pStyle w:val="SourceCode"/>
      </w:pPr>
      <w:r>
        <w:rPr>
          <w:rStyle w:val="VerbatimChar"/>
        </w:rPr>
        <w:t xml:space="preserve">- **Recent-trajectory scenario**: using only 2023–2025 whole-mile discovery (+11.5 pp/yr), cumulative mile occupancy reaches 100% around **2028**. This is the “already ubiquitous / under-surveyed” case — if the last two years’ pace continues, known whole-mile occupancy saturates almost immediately relative to the full-series logistic.</w:t>
      </w:r>
    </w:p>
    <w:p>
      <w:pPr>
        <w:pStyle w:val="SourceCode"/>
      </w:pPr>
      <w:r>
        <w:rPr>
          <w:rStyle w:val="VerbatimChar"/>
        </w:rPr>
        <w:t xml:space="preserve">- Full-series linear/logistic forecasts are slower and more consistent with a sampling plateau; the recent trajectory is an upper-bound discovery scenario, not a separate biological invasion model.</w:t>
      </w:r>
    </w:p>
    <w:p>
      <w:pPr>
        <w:pStyle w:val="SourceCode"/>
      </w:pPr>
      <w:r>
        <w:rPr>
          <w:rStyle w:val="VerbatimChar"/>
        </w:rPr>
        <w:t xml:space="preserve">- Increased RAS effort in currently empty miles (see Monitoring Recommendations) will accelerate cumulative discovery even without new colonization.</w:t>
      </w:r>
    </w:p>
    <w:bookmarkEnd w:id="48"/>
    <w:bookmarkEnd w:id="49"/>
    <w:bookmarkStart w:id="53" w:name="river-mile-analysis"/>
    <w:p>
      <w:pPr>
        <w:pStyle w:val="Titre1"/>
      </w:pPr>
      <w:r>
        <w:t xml:space="preserve">6. River Mile Analysis</w:t>
      </w:r>
    </w:p>
    <w:p>
      <w:pPr>
        <w:pStyle w:val="SourceCode"/>
      </w:pPr>
      <w:r>
        <w:rPr>
          <w:rStyle w:val="VerbatimChar"/>
        </w:rPr>
        <w:t xml:space="preserve">### Reach Boundaries (Northern Boundaries)</w:t>
      </w:r>
    </w:p>
    <w:p>
      <w:pPr>
        <w:pStyle w:val="SourceCode"/>
      </w:pPr>
      <w:r>
        <w:rPr>
          <w:rStyle w:val="VerbatimChar"/>
        </w:rPr>
        <w:t xml:space="preserve">**Table showing minimum river mile for each reach (northern boundary):**</w:t>
      </w:r>
    </w:p>
    <w:p>
      <w:pPr>
        <w:pStyle w:val="SourceCode"/>
      </w:pPr>
      <w:r>
        <w:br/>
      </w:r>
      <w:r>
        <w:br/>
      </w:r>
      <w:r>
        <w:rPr>
          <w:rStyle w:val="VerbatimChar"/>
        </w:rPr>
        <w:t xml:space="preserve">Table: Northern boundaries (minimum river miles) for each LORP reach</w:t>
      </w:r>
      <w:r>
        <w:br/>
      </w:r>
      <w:r>
        <w:br/>
      </w:r>
      <w:r>
        <w:rPr>
          <w:rStyle w:val="VerbatimChar"/>
        </w:rPr>
        <w:t xml:space="preserve">|LORP Reach   | Min River Mile | Max River Mile | Reach Number | Label Position |</w:t>
      </w:r>
      <w:r>
        <w:br/>
      </w:r>
      <w:r>
        <w:rPr>
          <w:rStyle w:val="VerbatimChar"/>
        </w:rPr>
        <w:t xml:space="preserve">|:------------|:--------------:|:--------------:|:------------:|:--------------:|</w:t>
      </w:r>
      <w:r>
        <w:br/>
      </w:r>
      <w:r>
        <w:rPr>
          <w:rStyle w:val="VerbatimChar"/>
        </w:rPr>
        <w:t xml:space="preserve">|LORP Reach 1 |      0.1       |      3.9       |      1       |      0.1       |</w:t>
      </w:r>
      <w:r>
        <w:br/>
      </w:r>
      <w:r>
        <w:rPr>
          <w:rStyle w:val="VerbatimChar"/>
        </w:rPr>
        <w:t xml:space="preserve">|LORP Reach 2 |      3.7       |      19.6      |      2       |      3.7       |</w:t>
      </w:r>
      <w:r>
        <w:br/>
      </w:r>
      <w:r>
        <w:rPr>
          <w:rStyle w:val="VerbatimChar"/>
        </w:rPr>
        <w:t xml:space="preserve">|LORP Reach 3 |      19.7      |      34.5      |      3       |      19.7      |</w:t>
      </w:r>
      <w:r>
        <w:br/>
      </w:r>
      <w:r>
        <w:rPr>
          <w:rStyle w:val="VerbatimChar"/>
        </w:rPr>
        <w:t xml:space="preserve">|LORP Reach 4 |      34.5      |      38.1      |      4       |      34.5      |</w:t>
      </w:r>
      <w:r>
        <w:br/>
      </w:r>
      <w:r>
        <w:rPr>
          <w:rStyle w:val="VerbatimChar"/>
        </w:rPr>
        <w:t xml:space="preserve">|LORP Reach 5 |      39.0      |      42.4      |      5       |      39.0      |</w:t>
      </w:r>
      <w:r>
        <w:br/>
      </w:r>
      <w:r>
        <w:rPr>
          <w:rStyle w:val="VerbatimChar"/>
        </w:rPr>
        <w:t xml:space="preserve">|LORP Reach 6 |      49.7      |      53.4      |      6       |      49.7      |</w:t>
      </w:r>
    </w:p>
    <w:p>
      <w:pPr>
        <w:pStyle w:val="SourceCode"/>
      </w:pPr>
      <w:r>
        <w:br/>
      </w:r>
      <w:r>
        <w:rPr>
          <w:rStyle w:val="VerbatimChar"/>
        </w:rPr>
        <w:t xml:space="preserve">**Using actual reach boundaries from data:**</w:t>
      </w:r>
    </w:p>
    <w:p>
      <w:pPr>
        <w:pStyle w:val="SourceCode"/>
      </w:pPr>
      <w:r>
        <w:rPr>
          <w:rStyle w:val="VerbatimChar"/>
        </w:rPr>
        <w:t xml:space="preserve"># A tibble: 6 × 5</w:t>
      </w:r>
      <w:r>
        <w:br/>
      </w:r>
      <w:r>
        <w:rPr>
          <w:rStyle w:val="VerbatimChar"/>
        </w:rPr>
        <w:t xml:space="preserve">  Name         Min_RiverMile Max_RiverMile Reach_Num Label_Position</w:t>
      </w:r>
      <w:r>
        <w:br/>
      </w:r>
      <w:r>
        <w:rPr>
          <w:rStyle w:val="VerbatimChar"/>
        </w:rPr>
        <w:t xml:space="preserve">  &lt;chr&gt;                &lt;dbl&gt;         &lt;dbl&gt;     &lt;int&gt;          &lt;dbl&gt;</w:t>
      </w:r>
      <w:r>
        <w:br/>
      </w:r>
      <w:r>
        <w:rPr>
          <w:rStyle w:val="VerbatimChar"/>
        </w:rPr>
        <w:t xml:space="preserve">1 LORP Reach 1           0.1           3.9         1            0.1</w:t>
      </w:r>
      <w:r>
        <w:br/>
      </w:r>
      <w:r>
        <w:rPr>
          <w:rStyle w:val="VerbatimChar"/>
        </w:rPr>
        <w:t xml:space="preserve">2 LORP Reach 2           3.7          19.6         2            3.7</w:t>
      </w:r>
      <w:r>
        <w:br/>
      </w:r>
      <w:r>
        <w:rPr>
          <w:rStyle w:val="VerbatimChar"/>
        </w:rPr>
        <w:t xml:space="preserve">3 LORP Reach 3          19.7          34.5         3           19.7</w:t>
      </w:r>
      <w:r>
        <w:br/>
      </w:r>
      <w:r>
        <w:rPr>
          <w:rStyle w:val="VerbatimChar"/>
        </w:rPr>
        <w:t xml:space="preserve">4 LORP Reach 4          34.5          38.1         4           34.5</w:t>
      </w:r>
      <w:r>
        <w:br/>
      </w:r>
      <w:r>
        <w:rPr>
          <w:rStyle w:val="VerbatimChar"/>
        </w:rPr>
        <w:t xml:space="preserve">5 LORP Reach 5          39            42.4         5           39  </w:t>
      </w:r>
      <w:r>
        <w:br/>
      </w:r>
      <w:r>
        <w:rPr>
          <w:rStyle w:val="VerbatimChar"/>
        </w:rPr>
        <w:t xml:space="preserve">6 LORP Reach 6          49.7          53.4         6           49.7</w:t>
      </w:r>
    </w:p>
    <w:p>
      <w:pPr>
        <w:pStyle w:val="SourceCode"/>
      </w:pPr>
      <w:r>
        <w:br/>
      </w:r>
      <w:r>
        <w:rPr>
          <w:rStyle w:val="VerbatimChar"/>
        </w:rPr>
        <w:t xml:space="preserve">### Reach Labels and River Miles</w:t>
      </w:r>
    </w:p>
    <w:p>
      <w:pPr>
        <w:pStyle w:val="SourceCode"/>
      </w:pPr>
      <w:r>
        <w:rPr>
          <w:rStyle w:val="VerbatimChar"/>
        </w:rPr>
        <w:t xml:space="preserve">**Table showing reach labels and their river mile positions:**</w:t>
      </w:r>
    </w:p>
    <w:p>
      <w:pPr>
        <w:pStyle w:val="SourceCode"/>
      </w:pPr>
      <w:r>
        <w:br/>
      </w:r>
      <w:r>
        <w:br/>
      </w:r>
      <w:r>
        <w:rPr>
          <w:rStyle w:val="VerbatimChar"/>
        </w:rPr>
        <w:t xml:space="preserve">Table: Reach labels and their river mile positions</w:t>
      </w:r>
      <w:r>
        <w:br/>
      </w:r>
      <w:r>
        <w:br/>
      </w:r>
      <w:r>
        <w:rPr>
          <w:rStyle w:val="VerbatimChar"/>
        </w:rPr>
        <w:t xml:space="preserve">|Reach Label  | River Mile |</w:t>
      </w:r>
      <w:r>
        <w:br/>
      </w:r>
      <w:r>
        <w:rPr>
          <w:rStyle w:val="VerbatimChar"/>
        </w:rPr>
        <w:t xml:space="preserve">|:------------|:----------:|</w:t>
      </w:r>
      <w:r>
        <w:br/>
      </w:r>
      <w:r>
        <w:rPr>
          <w:rStyle w:val="VerbatimChar"/>
        </w:rPr>
        <w:t xml:space="preserve">|LORP Reach 1 |    0.1     |</w:t>
      </w:r>
      <w:r>
        <w:br/>
      </w:r>
      <w:r>
        <w:rPr>
          <w:rStyle w:val="VerbatimChar"/>
        </w:rPr>
        <w:t xml:space="preserve">|LORP Reach 2 |    3.7     |</w:t>
      </w:r>
      <w:r>
        <w:br/>
      </w:r>
      <w:r>
        <w:rPr>
          <w:rStyle w:val="VerbatimChar"/>
        </w:rPr>
        <w:t xml:space="preserve">|LORP Reach 3 |    19.7    |</w:t>
      </w:r>
      <w:r>
        <w:br/>
      </w:r>
      <w:r>
        <w:rPr>
          <w:rStyle w:val="VerbatimChar"/>
        </w:rPr>
        <w:t xml:space="preserve">|LORP Reach 4 |    34.5    |</w:t>
      </w:r>
      <w:r>
        <w:br/>
      </w:r>
      <w:r>
        <w:rPr>
          <w:rStyle w:val="VerbatimChar"/>
        </w:rPr>
        <w:t xml:space="preserve">|LORP Reach 5 |    39.0    |</w:t>
      </w:r>
      <w:r>
        <w:br/>
      </w:r>
      <w:r>
        <w:rPr>
          <w:rStyle w:val="VerbatimChar"/>
        </w:rPr>
        <w:t xml:space="preserve">|LORP Reach 6 |    49.7    |</w:t>
      </w:r>
    </w:p>
    <w:p>
      <w:pPr>
        <w:pStyle w:val="SourceCode"/>
      </w:pPr>
      <w:r>
        <w:br/>
      </w:r>
      <w:r>
        <w:rPr>
          <w:rStyle w:val="VerbatimChar"/>
        </w:rPr>
        <w:t xml:space="preserve">### Reach Minimum River Miles</w:t>
      </w:r>
    </w:p>
    <w:p>
      <w:pPr>
        <w:pStyle w:val="SourceCode"/>
      </w:pPr>
      <w:r>
        <w:rPr>
          <w:rStyle w:val="VerbatimChar"/>
        </w:rPr>
        <w:t xml:space="preserve">**Table showing minimum river mile for each reach:**</w:t>
      </w:r>
    </w:p>
    <w:p>
      <w:pPr>
        <w:pStyle w:val="SourceCode"/>
      </w:pPr>
      <w:r>
        <w:br/>
      </w:r>
      <w:r>
        <w:br/>
      </w:r>
      <w:r>
        <w:rPr>
          <w:rStyle w:val="VerbatimChar"/>
        </w:rPr>
        <w:t xml:space="preserve">Table: Minimum river mile for each reach</w:t>
      </w:r>
      <w:r>
        <w:br/>
      </w:r>
      <w:r>
        <w:br/>
      </w:r>
      <w:r>
        <w:rPr>
          <w:rStyle w:val="VerbatimChar"/>
        </w:rPr>
        <w:t xml:space="preserve">|Reach        | Min River Mile |</w:t>
      </w:r>
      <w:r>
        <w:br/>
      </w:r>
      <w:r>
        <w:rPr>
          <w:rStyle w:val="VerbatimChar"/>
        </w:rPr>
        <w:t xml:space="preserve">|:------------|:--------------:|</w:t>
      </w:r>
      <w:r>
        <w:br/>
      </w:r>
      <w:r>
        <w:rPr>
          <w:rStyle w:val="VerbatimChar"/>
        </w:rPr>
        <w:t xml:space="preserve">|LORP Reach 1 |      0.1       |</w:t>
      </w:r>
      <w:r>
        <w:br/>
      </w:r>
      <w:r>
        <w:rPr>
          <w:rStyle w:val="VerbatimChar"/>
        </w:rPr>
        <w:t xml:space="preserve">|LORP Reach 2 |      3.7       |</w:t>
      </w:r>
      <w:r>
        <w:br/>
      </w:r>
      <w:r>
        <w:rPr>
          <w:rStyle w:val="VerbatimChar"/>
        </w:rPr>
        <w:t xml:space="preserve">|LORP Reach 3 |      19.7      |</w:t>
      </w:r>
      <w:r>
        <w:br/>
      </w:r>
      <w:r>
        <w:rPr>
          <w:rStyle w:val="VerbatimChar"/>
        </w:rPr>
        <w:t xml:space="preserve">|LORP Reach 4 |      34.5      |</w:t>
      </w:r>
      <w:r>
        <w:br/>
      </w:r>
      <w:r>
        <w:rPr>
          <w:rStyle w:val="VerbatimChar"/>
        </w:rPr>
        <w:t xml:space="preserve">|LORP Reach 5 |      39.0      |</w:t>
      </w:r>
      <w:r>
        <w:br/>
      </w:r>
      <w:r>
        <w:rPr>
          <w:rStyle w:val="VerbatimChar"/>
        </w:rPr>
        <w:t xml:space="preserve">|LORP Reach 6 |      49.7      |</w:t>
      </w:r>
    </w:p>
    <w:p>
      <w:pPr>
        <w:pStyle w:val="SourceCode"/>
      </w:pPr>
      <w:r>
        <w:br/>
      </w:r>
      <w:r>
        <w:rPr>
          <w:rStyle w:val="VerbatimChar"/>
        </w:rPr>
        <w:t xml:space="preserve">### Manual Reach Boundaries for Plot</w:t>
      </w:r>
      <w:r>
        <w:br/>
      </w:r>
      <w:r>
        <w:rPr>
          <w:rStyle w:val="VerbatimChar"/>
        </w:rPr>
        <w:t xml:space="preserve">     Name Closest_Bin</w:t>
      </w:r>
      <w:r>
        <w:br/>
      </w:r>
      <w:r>
        <w:rPr>
          <w:rStyle w:val="VerbatimChar"/>
        </w:rPr>
        <w:t xml:space="preserve">1 Reach 1           0</w:t>
      </w:r>
      <w:r>
        <w:br/>
      </w:r>
      <w:r>
        <w:rPr>
          <w:rStyle w:val="VerbatimChar"/>
        </w:rPr>
        <w:t xml:space="preserve">2 Reach 2           4</w:t>
      </w:r>
      <w:r>
        <w:br/>
      </w:r>
      <w:r>
        <w:rPr>
          <w:rStyle w:val="VerbatimChar"/>
        </w:rPr>
        <w:t xml:space="preserve">3 Reach 3          20</w:t>
      </w:r>
      <w:r>
        <w:br/>
      </w:r>
      <w:r>
        <w:rPr>
          <w:rStyle w:val="VerbatimChar"/>
        </w:rPr>
        <w:t xml:space="preserve">4 Reach 4          35</w:t>
      </w:r>
      <w:r>
        <w:br/>
      </w:r>
      <w:r>
        <w:rPr>
          <w:rStyle w:val="VerbatimChar"/>
        </w:rPr>
        <w:t xml:space="preserve">5 Reach 5          39</w:t>
      </w:r>
      <w:r>
        <w:br/>
      </w:r>
      <w:r>
        <w:rPr>
          <w:rStyle w:val="VerbatimChar"/>
        </w:rPr>
        <w:t xml:space="preserve">6 Reach 6          50</w:t>
      </w:r>
    </w:p>
    <w:p>
      <w:pPr>
        <w:pStyle w:val="FirstParagraph"/>
      </w:pPr>
      <w:r>
        <w:drawing>
          <wp:inline>
            <wp:extent cx="5753100" cy="4314825"/>
            <wp:effectExtent b="0" l="0" r="0" t="0"/>
            <wp:docPr descr="" title="" id="51" name="Picture"/>
            <a:graphic>
              <a:graphicData uri="http://schemas.openxmlformats.org/drawingml/2006/picture">
                <pic:pic>
                  <pic:nvPicPr>
                    <pic:cNvPr descr="index_files/figure-docx/river-mile-analysis-1.png" id="52" name="Picture"/>
                    <pic:cNvPicPr>
                      <a:picLocks noChangeArrowheads="1" noChangeAspect="1"/>
                    </pic:cNvPicPr>
                  </pic:nvPicPr>
                  <pic:blipFill>
                    <a:blip r:embed="rId50"/>
                    <a:stretch>
                      <a:fillRect/>
                    </a:stretch>
                  </pic:blipFill>
                  <pic:spPr bwMode="auto">
                    <a:xfrm>
                      <a:off x="0" y="0"/>
                      <a:ext cx="5753100" cy="4314825"/>
                    </a:xfrm>
                    <a:prstGeom prst="rect">
                      <a:avLst/>
                    </a:prstGeom>
                    <a:noFill/>
                    <a:ln w="9525">
                      <a:noFill/>
                      <a:headEnd/>
                      <a:tailEnd/>
                    </a:ln>
                  </pic:spPr>
                </pic:pic>
              </a:graphicData>
            </a:graphic>
          </wp:inline>
        </w:drawing>
      </w:r>
    </w:p>
    <w:p>
      <w:pPr>
        <w:pStyle w:val="SourceCode"/>
      </w:pPr>
      <w:r>
        <w:rPr>
          <w:rStyle w:val="VerbatimChar"/>
        </w:rPr>
        <w:t xml:space="preserve">### River Mile Distribution Summary</w:t>
      </w:r>
      <w:r>
        <w:br/>
      </w:r>
      <w:r>
        <w:rPr>
          <w:rStyle w:val="VerbatimChar"/>
        </w:rPr>
        <w:t xml:space="preserve">**Total River Miles Analyzed**: 61 </w:t>
      </w:r>
      <w:r>
        <w:br/>
      </w:r>
      <w:r>
        <w:rPr>
          <w:rStyle w:val="VerbatimChar"/>
        </w:rPr>
        <w:t xml:space="preserve">**Years Covered**: 2018 - 2025 </w:t>
      </w:r>
      <w:r>
        <w:br/>
      </w:r>
      <w:r>
        <w:rPr>
          <w:rStyle w:val="VerbatimChar"/>
        </w:rPr>
        <w:t xml:space="preserve">**River Mile Range**: 0 - 60 </w:t>
      </w:r>
      <w:r>
        <w:br/>
      </w:r>
      <w:r>
        <w:br/>
      </w:r>
      <w:r>
        <w:rPr>
          <w:rStyle w:val="VerbatimChar"/>
        </w:rPr>
        <w:t xml:space="preserve">### Top 10 Most Active River Miles</w:t>
      </w:r>
      <w:r>
        <w:br/>
      </w:r>
      <w:r>
        <w:rPr>
          <w:rStyle w:val="VerbatimChar"/>
        </w:rPr>
        <w:t xml:space="preserve">- **River Mile 10 **: 269 sites</w:t>
      </w:r>
      <w:r>
        <w:br/>
      </w:r>
      <w:r>
        <w:rPr>
          <w:rStyle w:val="VerbatimChar"/>
        </w:rPr>
        <w:t xml:space="preserve">- **River Mile 4 **: 196 sites</w:t>
      </w:r>
      <w:r>
        <w:br/>
      </w:r>
      <w:r>
        <w:rPr>
          <w:rStyle w:val="VerbatimChar"/>
        </w:rPr>
        <w:t xml:space="preserve">- **River Mile 7 **: 157 sites</w:t>
      </w:r>
      <w:r>
        <w:br/>
      </w:r>
      <w:r>
        <w:rPr>
          <w:rStyle w:val="VerbatimChar"/>
        </w:rPr>
        <w:t xml:space="preserve">- **River Mile 5 **: 99 sites</w:t>
      </w:r>
      <w:r>
        <w:br/>
      </w:r>
      <w:r>
        <w:rPr>
          <w:rStyle w:val="VerbatimChar"/>
        </w:rPr>
        <w:t xml:space="preserve">- **River Mile 6 **: 94 sites</w:t>
      </w:r>
      <w:r>
        <w:br/>
      </w:r>
      <w:r>
        <w:rPr>
          <w:rStyle w:val="VerbatimChar"/>
        </w:rPr>
        <w:t xml:space="preserve">- **River Mile 28 **: 83 sites</w:t>
      </w:r>
      <w:r>
        <w:br/>
      </w:r>
      <w:r>
        <w:rPr>
          <w:rStyle w:val="VerbatimChar"/>
        </w:rPr>
        <w:t xml:space="preserve">- **River Mile 3 **: 77 sites</w:t>
      </w:r>
      <w:r>
        <w:br/>
      </w:r>
      <w:r>
        <w:rPr>
          <w:rStyle w:val="VerbatimChar"/>
        </w:rPr>
        <w:t xml:space="preserve">- **River Mile 30 **: 64 sites</w:t>
      </w:r>
      <w:r>
        <w:br/>
      </w:r>
      <w:r>
        <w:rPr>
          <w:rStyle w:val="VerbatimChar"/>
        </w:rPr>
        <w:t xml:space="preserve">- **River Mile 34 **: 59 sites</w:t>
      </w:r>
      <w:r>
        <w:br/>
      </w:r>
      <w:r>
        <w:rPr>
          <w:rStyle w:val="VerbatimChar"/>
        </w:rPr>
        <w:t xml:space="preserve">- **River Mile 29 **: 51 sites</w:t>
      </w:r>
    </w:p>
    <w:bookmarkEnd w:id="53"/>
    <w:bookmarkStart w:id="59" w:name="monitoring-recommendations"/>
    <w:p>
      <w:pPr>
        <w:pStyle w:val="Titre1"/>
      </w:pPr>
      <w:r>
        <w:t xml:space="preserve">7. 2026 Monitoring Recommendations</w:t>
      </w:r>
    </w:p>
    <w:p>
      <w:pPr>
        <w:pStyle w:val="FirstParagraph"/>
      </w:pPr>
      <w:r>
        <w:t xml:space="preserve">The</w:t>
      </w:r>
      <w:r>
        <w:t xml:space="preserve"> </w:t>
      </w:r>
      <w:hyperlink r:id="rId20">
        <w:r>
          <w:rPr>
            <w:rStyle w:val="Hyperlink"/>
          </w:rPr>
          <w:t xml:space="preserve">FY 2026–2027 LORP work plan</w:t>
        </w:r>
      </w:hyperlink>
      <w:r>
        <w:t xml:space="preserve"> </w:t>
      </w:r>
      <w:r>
        <w:t xml:space="preserve">directs summer RAS (rapid assessment survey) monitoring to focus on areas</w:t>
      </w:r>
      <w:r>
        <w:t xml:space="preserve"> </w:t>
      </w:r>
      <w:r>
        <w:rPr>
          <w:b/>
          <w:bCs/>
        </w:rPr>
        <w:t xml:space="preserve">without known pepperweed populations</w:t>
      </w:r>
      <w:r>
        <w:t xml:space="preserve">. Study-design crosswalk:</w:t>
      </w:r>
      <w:r>
        <w:t xml:space="preserve"> </w:t>
      </w:r>
      <w:hyperlink r:id="rId54">
        <w:r>
          <w:rPr>
            <w:rStyle w:val="VerbatimChar"/>
          </w:rPr>
          <w:t xml:space="preserve">lorp-pia-completion</w:t>
        </w:r>
        <w:r>
          <w:rPr>
            <w:rStyle w:val="Hyperlink"/>
          </w:rPr>
          <w:t xml:space="preserve"> </w:t>
        </w:r>
        <w:r>
          <w:rPr>
            <w:rStyle w:val="Hyperlink"/>
          </w:rPr>
          <w:t xml:space="preserve">Doc 11</w:t>
        </w:r>
      </w:hyperlink>
      <w:r>
        <w:t xml:space="preserve">. The tables below are derived from 2018–2025 occurrence data binned to whole river miles (see</w:t>
      </w:r>
      <w:r>
        <w:t xml:space="preserve"> </w:t>
      </w:r>
      <w:hyperlink w:anchor="river-mile-analysis">
        <w:r>
          <w:rPr>
            <w:rStyle w:val="Hyperlink"/>
          </w:rPr>
          <w:t xml:space="preserve">River Mile Analysis</w:t>
        </w:r>
      </w:hyperlink>
      <w:r>
        <w:t xml:space="preserve">).</w:t>
      </w:r>
    </w:p>
    <w:p>
      <w:pPr>
        <w:pStyle w:val="SourceCode"/>
      </w:pPr>
      <w:r>
        <w:rPr>
          <w:rStyle w:val="VerbatimChar"/>
        </w:rPr>
        <w:t xml:space="preserve">## Priority Survey Areas</w:t>
      </w:r>
      <w:r>
        <w:br/>
      </w:r>
      <w:r>
        <w:rPr>
          <w:rStyle w:val="VerbatimChar"/>
        </w:rPr>
        <w:t xml:space="preserve">River-mile segments with **no pepperweed detections on the river corridor** in any survey year (`r params$start_year`–`r params$current_year`). Only sites within 250 m of a river-mile marker count toward occupancy (off-channel ditch/field points are excluded so they do not falsely mark a mile as occupied). These align with the workplan objective to survey unoccupied corridor.</w:t>
      </w:r>
      <w:r>
        <w:br/>
      </w:r>
      <w:r>
        <w:br/>
      </w:r>
      <w:r>
        <w:br/>
      </w:r>
      <w:r>
        <w:br/>
      </w:r>
      <w:r>
        <w:rPr>
          <w:rStyle w:val="VerbatimChar"/>
        </w:rPr>
        <w:t xml:space="preserve">Table: Recommended 2026 RAS survey segments without known pepperweed (n = 20 river miles, 32.8% of 0–60 RM corridor)</w:t>
      </w:r>
      <w:r>
        <w:br/>
      </w:r>
      <w:r>
        <w:br/>
      </w:r>
      <w:r>
        <w:rPr>
          <w:rStyle w:val="VerbatimChar"/>
        </w:rPr>
        <w:t xml:space="preserve">|Priority |River Mile Range | Length (mi) | Reach |Population Status                |Bank Guidance     |</w:t>
      </w:r>
      <w:r>
        <w:br/>
      </w:r>
      <w:r>
        <w:rPr>
          <w:rStyle w:val="VerbatimChar"/>
        </w:rPr>
        <w:t xml:space="preserve">|:--------|:----------------|:-----------:|:-----:|:--------------------------------|:-----------------|</w:t>
      </w:r>
      <w:r>
        <w:br/>
      </w:r>
      <w:r>
        <w:rPr>
          <w:rStyle w:val="VerbatimChar"/>
        </w:rPr>
        <w:t xml:space="preserve">|High     |RM 54–60         |      7      |  R6   |No known populations (all years) |Survey both banks |</w:t>
      </w:r>
      <w:r>
        <w:br/>
      </w:r>
      <w:r>
        <w:rPr>
          <w:rStyle w:val="VerbatimChar"/>
        </w:rPr>
        <w:t xml:space="preserve">|High     |RM 43–48         |      6      |  R6   |No known populations (all years) |Survey both banks |</w:t>
      </w:r>
      <w:r>
        <w:br/>
      </w:r>
      <w:r>
        <w:rPr>
          <w:rStyle w:val="VerbatimChar"/>
        </w:rPr>
        <w:t xml:space="preserve">|Medium   |RM 21–22         |      2      |  R3   |No known populations (all years) |Survey both banks |</w:t>
      </w:r>
      <w:r>
        <w:br/>
      </w:r>
      <w:r>
        <w:rPr>
          <w:rStyle w:val="VerbatimChar"/>
        </w:rPr>
        <w:t xml:space="preserve">|Medium   |RM 35–36         |      2      |  R4   |No known populations (all years) |Survey both banks |</w:t>
      </w:r>
      <w:r>
        <w:br/>
      </w:r>
      <w:r>
        <w:rPr>
          <w:rStyle w:val="VerbatimChar"/>
        </w:rPr>
        <w:t xml:space="preserve">|Medium   |RM 51–52         |      2      |  R6   |No known populations (all years) |Survey both banks |</w:t>
      </w:r>
      <w:r>
        <w:br/>
      </w:r>
      <w:r>
        <w:rPr>
          <w:rStyle w:val="VerbatimChar"/>
        </w:rPr>
        <w:t xml:space="preserve">|Low      |RM 24            |      1      |  R3   |No known populations (all years) |Survey both banks |</w:t>
      </w:r>
      <w:r>
        <w:br/>
      </w:r>
      <w:r>
        <w:br/>
      </w:r>
      <w:r>
        <w:rPr>
          <w:rStyle w:val="VerbatimChar"/>
        </w:rPr>
        <w:t xml:space="preserve">**Summary:**  20  of  61  river miles ( 32.8 %) have no recorded pepperweed. The largest gaps are **RM 43–48** and **RM 54–60** in Reach 6; smaller gaps occur at **RM 22** and **RM 24** within Reach 3.</w:t>
      </w:r>
    </w:p>
    <w:p>
      <w:pPr>
        <w:pStyle w:val="SourceCode"/>
      </w:pPr>
      <w:r>
        <w:rPr>
          <w:rStyle w:val="VerbatimChar"/>
        </w:rPr>
        <w:t xml:space="preserve">## East / West Bank Planning Notes</w:t>
      </w:r>
    </w:p>
    <w:p>
      <w:pPr>
        <w:pStyle w:val="SourceCode"/>
      </w:pPr>
      <w:r>
        <w:rPr>
          <w:rStyle w:val="VerbatimChar"/>
        </w:rPr>
        <w:t xml:space="preserve">Historical surveys do not record bank side in the feature service. For planning purposes, site coordinates were classified as **east** or **west** of the river centerline using the local channel direction at each river mile.</w:t>
      </w:r>
    </w:p>
    <w:p>
      <w:pPr>
        <w:pStyle w:val="SourceCode"/>
      </w:pPr>
      <w:r>
        <w:rPr>
          <w:rStyle w:val="VerbatimChar"/>
        </w:rPr>
        <w:t xml:space="preserve">- **Unoccupied miles** (table above): survey **both banks** — absence of detections does not indicate which bank was visited.</w:t>
      </w:r>
    </w:p>
    <w:p>
      <w:pPr>
        <w:pStyle w:val="SourceCode"/>
      </w:pPr>
      <w:r>
        <w:rPr>
          <w:rStyle w:val="VerbatimChar"/>
        </w:rPr>
        <w:t xml:space="preserve">- **Partially occupied miles** (table below): where all detections fall on one bank, the opposite bank may warrant targeted survey even though populations are known nearby.</w:t>
      </w:r>
    </w:p>
    <w:p>
      <w:pPr>
        <w:pStyle w:val="SourceCode"/>
      </w:pPr>
      <w:r>
        <w:br/>
      </w:r>
      <w:r>
        <w:br/>
      </w:r>
      <w:r>
        <w:rPr>
          <w:rStyle w:val="VerbatimChar"/>
        </w:rPr>
        <w:t xml:space="preserve">Table: River miles with detections on a single bank only (2018–2025)</w:t>
      </w:r>
      <w:r>
        <w:br/>
      </w:r>
      <w:r>
        <w:br/>
      </w:r>
      <w:r>
        <w:rPr>
          <w:rStyle w:val="VerbatimChar"/>
        </w:rPr>
        <w:t xml:space="preserve">|River Mile | Reach | Sites |Banks w/ Detections |Bank to Survey |Planning Note                               |</w:t>
      </w:r>
      <w:r>
        <w:br/>
      </w:r>
      <w:r>
        <w:rPr>
          <w:rStyle w:val="VerbatimChar"/>
        </w:rPr>
        <w:t xml:space="preserve">|:----------|:-----:|:-----:|:-------------------|:--------------|:-------------------------------------------|</w:t>
      </w:r>
      <w:r>
        <w:br/>
      </w:r>
      <w:r>
        <w:rPr>
          <w:rStyle w:val="VerbatimChar"/>
        </w:rPr>
        <w:t xml:space="preserve">|RM 15      |  R2   |   3   |East only           |West           |Detections on east only; consider West bank |</w:t>
      </w:r>
      <w:r>
        <w:br/>
      </w:r>
      <w:r>
        <w:rPr>
          <w:rStyle w:val="VerbatimChar"/>
        </w:rPr>
        <w:t xml:space="preserve">|RM 16      |  R2   |  14   |East only           |West           |Detections on east only; consider West bank |</w:t>
      </w:r>
      <w:r>
        <w:br/>
      </w:r>
      <w:r>
        <w:rPr>
          <w:rStyle w:val="VerbatimChar"/>
        </w:rPr>
        <w:t xml:space="preserve">|RM 18      |  R2   |   3   |West only           |East           |Detections on west only; consider East bank |</w:t>
      </w:r>
      <w:r>
        <w:br/>
      </w:r>
      <w:r>
        <w:rPr>
          <w:rStyle w:val="VerbatimChar"/>
        </w:rPr>
        <w:t xml:space="preserve">|RM 19      |  R2   |  13   |East only           |West           |Detections on east only; consider West bank |</w:t>
      </w:r>
      <w:r>
        <w:br/>
      </w:r>
      <w:r>
        <w:rPr>
          <w:rStyle w:val="VerbatimChar"/>
        </w:rPr>
        <w:t xml:space="preserve">|RM 23      |  R3   |   1   |East only           |West           |Detections on east only; consider West bank |</w:t>
      </w:r>
      <w:r>
        <w:br/>
      </w:r>
      <w:r>
        <w:rPr>
          <w:rStyle w:val="VerbatimChar"/>
        </w:rPr>
        <w:t xml:space="preserve">|RM 25      |  R3   |   7   |East only           |West           |Detections on east only; consider West bank |</w:t>
      </w:r>
      <w:r>
        <w:br/>
      </w:r>
      <w:r>
        <w:rPr>
          <w:rStyle w:val="VerbatimChar"/>
        </w:rPr>
        <w:t xml:space="preserve">|RM 39      |  R5   |   1   |East only           |West           |Detections on east only; consider West bank |</w:t>
      </w:r>
      <w:r>
        <w:br/>
      </w:r>
      <w:r>
        <w:rPr>
          <w:rStyle w:val="VerbatimChar"/>
        </w:rPr>
        <w:t xml:space="preserve">|RM 40      |  R5   |   3   |East only           |West           |Detections on east only; consider West bank |</w:t>
      </w:r>
      <w:r>
        <w:br/>
      </w:r>
      <w:r>
        <w:rPr>
          <w:rStyle w:val="VerbatimChar"/>
        </w:rPr>
        <w:t xml:space="preserve">|RM 41      |  R5   |   5   |East only           |West           |Detections on east only; consider West bank |</w:t>
      </w:r>
      <w:r>
        <w:br/>
      </w:r>
      <w:r>
        <w:rPr>
          <w:rStyle w:val="VerbatimChar"/>
        </w:rPr>
        <w:t xml:space="preserve">|RM 42      |  R5   |   3   |East only           |West           |Detections on east only; consider West bank |</w:t>
      </w:r>
      <w:r>
        <w:br/>
      </w:r>
      <w:r>
        <w:rPr>
          <w:rStyle w:val="VerbatimChar"/>
        </w:rPr>
        <w:t xml:space="preserve">|RM 49      |  R6   |   1   |West only           |East           |Detections on west only; consider East bank |</w:t>
      </w:r>
      <w:r>
        <w:br/>
      </w:r>
      <w:r>
        <w:rPr>
          <w:rStyle w:val="VerbatimChar"/>
        </w:rPr>
        <w:t xml:space="preserve">|RM 50      |  R6   |   1   |West only           |East           |Detections on west only; consider East bank |</w:t>
      </w:r>
      <w:r>
        <w:br/>
      </w:r>
      <w:r>
        <w:rPr>
          <w:rStyle w:val="VerbatimChar"/>
        </w:rPr>
        <w:t xml:space="preserve">|RM 53      |  R6   |   1   |East only           |West           |Detections on east only; consider West bank |</w:t>
      </w:r>
    </w:p>
    <w:p>
      <w:pPr>
        <w:pStyle w:val="SourceCode"/>
      </w:pPr>
      <w:r>
        <w:br/>
      </w:r>
      <w:r>
        <w:rPr>
          <w:rStyle w:val="VerbatimChar"/>
        </w:rPr>
        <w:t xml:space="preserve">### Suggested 2026 Survey Sequence</w:t>
      </w:r>
    </w:p>
    <w:p>
      <w:pPr>
        <w:pStyle w:val="SourceCode"/>
      </w:pPr>
      <w:r>
        <w:rPr>
          <w:rStyle w:val="VerbatimChar"/>
        </w:rPr>
        <w:t xml:space="preserve">1. **Reach 6 lower corridor (RM 43–48, 51–52, 54–60)** — largest unoccupied segments; highest workplan priority.</w:t>
      </w:r>
    </w:p>
    <w:p>
      <w:pPr>
        <w:pStyle w:val="SourceCode"/>
      </w:pPr>
      <w:r>
        <w:rPr>
          <w:rStyle w:val="VerbatimChar"/>
        </w:rPr>
        <w:t xml:space="preserve">2. **Reach 3 gap miles (RM 21–22, 24)** — short unoccupied segments within otherwise occupied reach; efficient to cover during Reach 3 transit.</w:t>
      </w:r>
    </w:p>
    <w:p>
      <w:pPr>
        <w:pStyle w:val="SourceCode"/>
      </w:pPr>
      <w:r>
        <w:rPr>
          <w:rStyle w:val="VerbatimChar"/>
        </w:rPr>
        <w:t xml:space="preserve">3. **Single-bank follow-up** — optional targeted passes on the undetected bank at miles listed above, if crew capacity allows.</w:t>
      </w:r>
    </w:p>
    <w:p>
      <w:pPr>
        <w:pStyle w:val="SourceCode"/>
      </w:pPr>
      <w:r>
        <w:br/>
      </w:r>
      <w:r>
        <w:rPr>
          <w:rStyle w:val="VerbatimChar"/>
        </w:rPr>
        <w:t xml:space="preserve">### Access and Route Planning (next step)</w:t>
      </w:r>
    </w:p>
    <w:p>
      <w:pPr>
        <w:pStyle w:val="SourceCode"/>
      </w:pPr>
      <w:r>
        <w:rPr>
          <w:rStyle w:val="VerbatimChar"/>
        </w:rPr>
        <w:t xml:space="preserve">The current navigation polygons follow the **mainstem river-mile centerline** (±100 m). That is enough to flag *where* to look, but not *how* crews actually move:</w:t>
      </w:r>
    </w:p>
    <w:p>
      <w:pPr>
        <w:pStyle w:val="SourceCode"/>
      </w:pPr>
      <w:r>
        <w:rPr>
          <w:rStyle w:val="VerbatimChar"/>
        </w:rPr>
        <w:t xml:space="preserve">- **Secondary channels / side channels** often carry the walkable or boat-accessible path and may hold pepperweed even when the mapped mainstem mile looks empty.</w:t>
      </w:r>
    </w:p>
    <w:p>
      <w:pPr>
        <w:pStyle w:val="SourceCode"/>
      </w:pPr>
      <w:r>
        <w:rPr>
          <w:rStyle w:val="VerbatimChar"/>
        </w:rPr>
        <w:t xml:space="preserve">- **Prior RAS tracklogs** (Field Maps / Collector GPS tracks) show which banks and braids were reachable in past years — the practical route network for planning day sheets.</w:t>
      </w:r>
    </w:p>
    <w:p>
      <w:pPr>
        <w:pStyle w:val="SourceCode"/>
      </w:pPr>
      <w:r>
        <w:rPr>
          <w:rStyle w:val="VerbatimChar"/>
        </w:rPr>
        <w:t xml:space="preserve">**Recommended workflow once those layers are available:**</w:t>
      </w:r>
    </w:p>
    <w:p>
      <w:pPr>
        <w:pStyle w:val="SourceCode"/>
      </w:pPr>
      <w:r>
        <w:rPr>
          <w:rStyle w:val="VerbatimChar"/>
        </w:rPr>
        <w:t xml:space="preserve">1. Overlay secondary-channel lines + historical tracklogs on the 2026 gap polygons.</w:t>
      </w:r>
    </w:p>
    <w:p>
      <w:pPr>
        <w:pStyle w:val="SourceCode"/>
      </w:pPr>
      <w:r>
        <w:rPr>
          <w:rStyle w:val="VerbatimChar"/>
        </w:rPr>
        <w:t xml:space="preserve">2. Clip or redraw survey units to follow accessible routes (not axis-aligned mainstem boxes).</w:t>
      </w:r>
    </w:p>
    <w:p>
      <w:pPr>
        <w:pStyle w:val="SourceCode"/>
      </w:pPr>
      <w:r>
        <w:rPr>
          <w:rStyle w:val="VerbatimChar"/>
        </w:rPr>
        <w:t xml:space="preserve">3. Tag each unit with `Access` (mainstem / secondary / tracklog-only) and preferred entry points.</w:t>
      </w:r>
    </w:p>
    <w:p>
      <w:pPr>
        <w:pStyle w:val="SourceCode"/>
      </w:pPr>
      <w:r>
        <w:rPr>
          <w:rStyle w:val="VerbatimChar"/>
        </w:rPr>
        <w:t xml:space="preserve">4. Re-export the Field Maps layer so staff navigate along known paths through negative space.</w:t>
      </w:r>
    </w:p>
    <w:p>
      <w:pPr>
        <w:pStyle w:val="SourceCode"/>
      </w:pPr>
      <w:r>
        <w:rPr>
          <w:rStyle w:val="VerbatimChar"/>
        </w:rPr>
        <w:t xml:space="preserve">*Drop GPX/GeoJSON tracklogs or an AGOL item URL into `data/` (or share the service link) and this export can be rebuilt on those routes.*</w:t>
      </w:r>
    </w:p>
    <w:bookmarkStart w:id="58" w:name="field-maps-navigation-layer"/>
    <w:p>
      <w:pPr>
        <w:pStyle w:val="Titre2"/>
      </w:pPr>
      <w:r>
        <w:t xml:space="preserve">7.1 Field Maps Navigation Layer</w:t>
      </w:r>
    </w:p>
    <w:p>
      <w:pPr>
        <w:pStyle w:val="FirstParagraph"/>
      </w:pPr>
      <w:r>
        <w:rPr>
          <w:b/>
          <w:bCs/>
        </w:rPr>
        <w:t xml:space="preserve">Area without RAS detections</w:t>
      </w:r>
      <w:r>
        <w:t xml:space="preserve"> </w:t>
      </w:r>
      <w:r>
        <w:t xml:space="preserve">= June 2023</w:t>
      </w:r>
      <w:r>
        <w:t xml:space="preserve"> </w:t>
      </w:r>
      <w:hyperlink r:id="rId55">
        <w:r>
          <w:rPr>
            <w:rStyle w:val="Hyperlink"/>
          </w:rPr>
          <w:t xml:space="preserve">high-water</w:t>
        </w:r>
      </w:hyperlink>
      <w:r>
        <w:t xml:space="preserve"> </w:t>
      </w:r>
      <w:r>
        <w:t xml:space="preserve">floodplain (</w:t>
      </w:r>
      <w:hyperlink r:id="rId56">
        <w:r>
          <w:rPr>
            <w:rStyle w:val="Hyperlink"/>
          </w:rPr>
          <w:t xml:space="preserve">south</w:t>
        </w:r>
      </w:hyperlink>
      <w:r>
        <w:t xml:space="preserve"> </w:t>
      </w:r>
      <w:r>
        <w:t xml:space="preserve">+ north), split by river mile and bank,</w:t>
      </w:r>
      <w:r>
        <w:t xml:space="preserve"> </w:t>
      </w:r>
      <w:r>
        <w:rPr>
          <w:b/>
          <w:bCs/>
        </w:rPr>
        <w:t xml:space="preserve">minus</w:t>
      </w:r>
      <w:r>
        <w:t xml:space="preserve"> </w:t>
      </w:r>
      <w:r>
        <w:t xml:space="preserve">bank sides that already have pepperweed detections. The</w:t>
      </w:r>
      <w:r>
        <w:t xml:space="preserve"> </w:t>
      </w:r>
      <w:hyperlink r:id="rId57">
        <w:r>
          <w:rPr>
            <w:rStyle w:val="Hyperlink"/>
          </w:rPr>
          <w:t xml:space="preserve">multithreaded river</w:t>
        </w:r>
      </w:hyperlink>
      <w:r>
        <w:t xml:space="preserve"> </w:t>
      </w:r>
      <w:r>
        <w:t xml:space="preserve">is included as a reference layer.</w:t>
      </w:r>
    </w:p>
    <w:p>
      <w:pPr>
        <w:pStyle w:val="BodyText"/>
      </w:pPr>
      <w:r>
        <w:t xml:space="preserve">Download — area without RAS detections</w:t>
      </w:r>
    </w:p>
    <w:p>
      <w:pPr>
        <w:pStyle w:val="BodyText"/>
      </w:pPr>
      <w:r>
        <w:t xml:space="preserve">52 units (~2376.6 acres): high-water floodplain on bank sides with</w:t>
      </w:r>
      <w:r>
        <w:t xml:space="preserve"> </w:t>
      </w:r>
      <w:r>
        <w:t xml:space="preserve">zero</w:t>
      </w:r>
      <w:r>
        <w:t xml:space="preserve"> </w:t>
      </w:r>
      <w:r>
        <w:t xml:space="preserve">pepperweed detections for that river mile.</w:t>
      </w:r>
    </w:p>
    <w:p>
      <w:pPr>
        <w:pStyle w:val="BodyText"/>
      </w:pPr>
      <w:r>
        <w:t xml:space="preserve">Shapefile (zip) — Field Maps</w:t>
      </w:r>
      <w:r>
        <w:t xml:space="preserve"> </w:t>
      </w:r>
      <w:r>
        <w:t xml:space="preserve">No-detection units GeoJSON</w:t>
      </w:r>
      <w:r>
        <w:t xml:space="preserve"> </w:t>
      </w:r>
      <w:r>
        <w:t xml:space="preserve">High-water floodplain</w:t>
      </w:r>
      <w:r>
        <w:t xml:space="preserve"> </w:t>
      </w:r>
      <w:r>
        <w:t xml:space="preserve">River channels</w:t>
      </w:r>
      <w:r>
        <w:t xml:space="preserve"> </w:t>
      </w:r>
      <w:r>
        <w:t xml:space="preserve">Banks with detections</w:t>
      </w:r>
    </w:p>
    <w:p>
      <w:pPr>
        <w:pStyle w:val="TableCaption"/>
      </w:pPr>
      <w:r>
        <w:t xml:space="preserve">Area without RAS detections (high water − detected bank side)</w:t>
      </w:r>
    </w:p>
    <w:tbl>
      <w:tblPr>
        <w:tblStyle w:val="Table"/>
        <w:tblW w:type="auto" w:w="0"/>
        <w:tblLook w:firstRow="1" w:lastRow="0" w:firstColumn="0" w:lastColumn="0" w:noHBand="0" w:noVBand="0" w:val="0020"/>
        <w:tblCaption w:val="Area without RAS detections (high water − detected bank side)"/>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Bank</w:t>
            </w:r>
          </w:p>
        </w:tc>
        <w:tc>
          <w:tcPr/>
          <w:p>
            <w:pPr>
              <w:pStyle w:val="Compact"/>
              <w:jc w:val="center"/>
            </w:pPr>
            <w:r>
              <w:t xml:space="preserve">Units</w:t>
            </w:r>
          </w:p>
        </w:tc>
      </w:tr>
      <w:tr>
        <w:tc>
          <w:tcPr/>
          <w:p>
            <w:pPr>
              <w:pStyle w:val="Compact"/>
              <w:jc w:val="left"/>
            </w:pPr>
            <w:r>
              <w:t xml:space="preserve">High</w:t>
            </w:r>
          </w:p>
        </w:tc>
        <w:tc>
          <w:tcPr/>
          <w:p>
            <w:pPr>
              <w:pStyle w:val="Compact"/>
              <w:jc w:val="left"/>
            </w:pPr>
            <w:r>
              <w:t xml:space="preserve">East</w:t>
            </w:r>
          </w:p>
        </w:tc>
        <w:tc>
          <w:tcPr/>
          <w:p>
            <w:pPr>
              <w:pStyle w:val="Compact"/>
              <w:jc w:val="center"/>
            </w:pPr>
            <w:r>
              <w:t xml:space="preserve">14</w:t>
            </w:r>
          </w:p>
        </w:tc>
      </w:tr>
      <w:tr>
        <w:tc>
          <w:tcPr/>
          <w:p>
            <w:pPr>
              <w:pStyle w:val="Compact"/>
              <w:jc w:val="left"/>
            </w:pPr>
            <w:r>
              <w:t xml:space="preserve">High</w:t>
            </w:r>
          </w:p>
        </w:tc>
        <w:tc>
          <w:tcPr/>
          <w:p>
            <w:pPr>
              <w:pStyle w:val="Compact"/>
              <w:jc w:val="left"/>
            </w:pPr>
            <w:r>
              <w:t xml:space="preserve">West</w:t>
            </w:r>
          </w:p>
        </w:tc>
        <w:tc>
          <w:tcPr/>
          <w:p>
            <w:pPr>
              <w:pStyle w:val="Compact"/>
              <w:jc w:val="center"/>
            </w:pPr>
            <w:r>
              <w:t xml:space="preserve">14</w:t>
            </w:r>
          </w:p>
        </w:tc>
      </w:tr>
      <w:tr>
        <w:tc>
          <w:tcPr/>
          <w:p>
            <w:pPr>
              <w:pStyle w:val="Compact"/>
              <w:jc w:val="left"/>
            </w:pPr>
            <w:r>
              <w:t xml:space="preserve">Medium</w:t>
            </w:r>
          </w:p>
        </w:tc>
        <w:tc>
          <w:tcPr/>
          <w:p>
            <w:pPr>
              <w:pStyle w:val="Compact"/>
              <w:jc w:val="left"/>
            </w:pPr>
            <w:r>
              <w:t xml:space="preserve">East</w:t>
            </w:r>
          </w:p>
        </w:tc>
        <w:tc>
          <w:tcPr/>
          <w:p>
            <w:pPr>
              <w:pStyle w:val="Compact"/>
              <w:jc w:val="center"/>
            </w:pPr>
            <w:r>
              <w:t xml:space="preserve">5</w:t>
            </w:r>
          </w:p>
        </w:tc>
      </w:tr>
      <w:tr>
        <w:tc>
          <w:tcPr/>
          <w:p>
            <w:pPr>
              <w:pStyle w:val="Compact"/>
              <w:jc w:val="left"/>
            </w:pPr>
            <w:r>
              <w:t xml:space="preserve">Medium</w:t>
            </w:r>
          </w:p>
        </w:tc>
        <w:tc>
          <w:tcPr/>
          <w:p>
            <w:pPr>
              <w:pStyle w:val="Compact"/>
              <w:jc w:val="left"/>
            </w:pPr>
            <w:r>
              <w:t xml:space="preserve">West</w:t>
            </w:r>
          </w:p>
        </w:tc>
        <w:tc>
          <w:tcPr/>
          <w:p>
            <w:pPr>
              <w:pStyle w:val="Compact"/>
              <w:jc w:val="center"/>
            </w:pPr>
            <w:r>
              <w:t xml:space="preserve">7</w:t>
            </w:r>
          </w:p>
        </w:tc>
      </w:tr>
      <w:tr>
        <w:tc>
          <w:tcPr/>
          <w:p>
            <w:pPr>
              <w:pStyle w:val="Compact"/>
              <w:jc w:val="left"/>
            </w:pPr>
            <w:r>
              <w:t xml:space="preserve">Low</w:t>
            </w:r>
          </w:p>
        </w:tc>
        <w:tc>
          <w:tcPr/>
          <w:p>
            <w:pPr>
              <w:pStyle w:val="Compact"/>
              <w:jc w:val="left"/>
            </w:pPr>
            <w:r>
              <w:t xml:space="preserve">East</w:t>
            </w:r>
          </w:p>
        </w:tc>
        <w:tc>
          <w:tcPr/>
          <w:p>
            <w:pPr>
              <w:pStyle w:val="Compact"/>
              <w:jc w:val="center"/>
            </w:pPr>
            <w:r>
              <w:t xml:space="preserve">5</w:t>
            </w:r>
          </w:p>
        </w:tc>
      </w:tr>
      <w:tr>
        <w:tc>
          <w:tcPr/>
          <w:p>
            <w:pPr>
              <w:pStyle w:val="Compact"/>
              <w:jc w:val="left"/>
            </w:pPr>
            <w:r>
              <w:t xml:space="preserve">Low</w:t>
            </w:r>
          </w:p>
        </w:tc>
        <w:tc>
          <w:tcPr/>
          <w:p>
            <w:pPr>
              <w:pStyle w:val="Compact"/>
              <w:jc w:val="left"/>
            </w:pPr>
            <w:r>
              <w:t xml:space="preserve">West</w:t>
            </w:r>
          </w:p>
        </w:tc>
        <w:tc>
          <w:tcPr/>
          <w:p>
            <w:pPr>
              <w:pStyle w:val="Compact"/>
              <w:jc w:val="center"/>
            </w:pPr>
            <w:r>
              <w:t xml:space="preserve">7</w:t>
            </w:r>
          </w:p>
        </w:tc>
      </w:tr>
    </w:tbl>
    <w:bookmarkEnd w:id="58"/>
    <w:bookmarkEnd w:id="59"/>
    <w:bookmarkStart w:id="61" w:name="field-documentation"/>
    <w:p>
      <w:pPr>
        <w:pStyle w:val="Titre1"/>
      </w:pPr>
      <w:r>
        <w:t xml:space="preserve">8. Field Documentation</w:t>
      </w:r>
    </w:p>
    <w:bookmarkStart w:id="60" w:name="field-documentation-images"/>
    <w:p>
      <w:pPr>
        <w:pStyle w:val="Titre2"/>
      </w:pPr>
      <w:r>
        <w:t xml:space="preserve">8.1 Field Documentation Images</w:t>
      </w:r>
    </w:p>
    <w:p>
      <w:pPr>
        <w:pStyle w:val="FirstParagraph"/>
      </w:pPr>
      <w:r>
        <w:t xml:space="preserve">Pepperweed observations with field photos:</w:t>
      </w:r>
    </w:p>
    <w:p>
      <w:pPr>
        <w:pStyle w:val="BodyText"/>
      </w:pPr>
    </w:p>
    <w:p>
      <w:pPr>
        <w:pStyle w:val="BodyText"/>
      </w:pPr>
      <w:r>
        <w:t xml:space="preserve">Feature ID:</w:t>
      </w:r>
      <w:r>
        <w:t xml:space="preserve"> </w:t>
      </w:r>
      <w:r>
        <w:t xml:space="preserve">1369 |</w:t>
      </w:r>
      <w:r>
        <w:t xml:space="preserve"> </w:t>
      </w:r>
      <w:r>
        <w:t xml:space="preserve">Date:</w:t>
      </w:r>
      <w:r>
        <w:t xml:space="preserve"> </w:t>
      </w:r>
      <w:r>
        <w:t xml:space="preserve">2025-04-02 |</w:t>
      </w:r>
      <w:r>
        <w:t xml:space="preserve"> </w:t>
      </w:r>
      <w:r>
        <w:t xml:space="preserve">Abundance:</w:t>
      </w:r>
      <w:r>
        <w:t xml:space="preserve"> </w:t>
      </w:r>
      <w:r>
        <w:t xml:space="preserve">200+ (may be thousands)</w:t>
      </w:r>
    </w:p>
    <w:p>
      <w:pPr>
        <w:pStyle w:val="BodyText"/>
      </w:pPr>
    </w:p>
    <w:p>
      <w:pPr>
        <w:pStyle w:val="BodyText"/>
      </w:pPr>
      <w:r>
        <w:t xml:space="preserve">Feature ID:</w:t>
      </w:r>
      <w:r>
        <w:t xml:space="preserve"> </w:t>
      </w:r>
      <w:r>
        <w:t xml:space="preserve">1370 |</w:t>
      </w:r>
      <w:r>
        <w:t xml:space="preserve"> </w:t>
      </w:r>
      <w:r>
        <w:t xml:space="preserve">Date:</w:t>
      </w:r>
      <w:r>
        <w:t xml:space="preserve"> </w:t>
      </w:r>
      <w:r>
        <w:t xml:space="preserve">2025-04-02 |</w:t>
      </w:r>
      <w:r>
        <w:t xml:space="preserve"> </w:t>
      </w:r>
      <w:r>
        <w:t xml:space="preserve">Abundance:</w:t>
      </w:r>
      <w:r>
        <w:t xml:space="preserve"> </w:t>
      </w:r>
      <w:r>
        <w:t xml:space="preserve">200+ (may be thousands)</w:t>
      </w:r>
    </w:p>
    <w:p>
      <w:pPr>
        <w:pStyle w:val="BodyText"/>
      </w:pPr>
    </w:p>
    <w:p>
      <w:pPr>
        <w:pStyle w:val="BodyText"/>
      </w:pPr>
      <w:r>
        <w:t xml:space="preserve">Feature ID:</w:t>
      </w:r>
      <w:r>
        <w:t xml:space="preserve"> </w:t>
      </w:r>
      <w:r>
        <w:t xml:space="preserve">1371 |</w:t>
      </w:r>
      <w:r>
        <w:t xml:space="preserve"> </w:t>
      </w:r>
      <w:r>
        <w:t xml:space="preserve">Date:</w:t>
      </w:r>
      <w:r>
        <w:t xml:space="preserve"> </w:t>
      </w:r>
      <w:r>
        <w:t xml:space="preserve">2025-05-14 |</w:t>
      </w:r>
      <w:r>
        <w:t xml:space="preserve"> </w:t>
      </w:r>
      <w:r>
        <w:t xml:space="preserve">Abundance:</w:t>
      </w:r>
      <w:r>
        <w:t xml:space="preserve"> </w:t>
      </w:r>
      <w:r>
        <w:t xml:space="preserve">200+ (may be thousands)</w:t>
      </w:r>
    </w:p>
    <w:p>
      <w:pPr>
        <w:pStyle w:val="BodyText"/>
      </w:pPr>
      <w:r>
        <w:t xml:space="preserve">Notes:</w:t>
      </w:r>
      <w:r>
        <w:t xml:space="preserve"> </w:t>
      </w:r>
      <w:r>
        <w:t xml:space="preserve">Dense vegetative cluster around low ditch</w:t>
      </w:r>
    </w:p>
    <w:p>
      <w:pPr>
        <w:pStyle w:val="BodyText"/>
      </w:pPr>
    </w:p>
    <w:p>
      <w:pPr>
        <w:pStyle w:val="BodyText"/>
      </w:pPr>
      <w:r>
        <w:t xml:space="preserve">Feature ID:</w:t>
      </w:r>
      <w:r>
        <w:t xml:space="preserve"> </w:t>
      </w:r>
      <w:r>
        <w:t xml:space="preserve">1398 |</w:t>
      </w:r>
      <w:r>
        <w:t xml:space="preserve"> </w:t>
      </w:r>
      <w:r>
        <w:t xml:space="preserve">Date:</w:t>
      </w:r>
      <w:r>
        <w:t xml:space="preserve"> </w:t>
      </w:r>
      <w:r>
        <w:t xml:space="preserve">2025-07-30 |</w:t>
      </w:r>
      <w:r>
        <w:t xml:space="preserve"> </w:t>
      </w:r>
      <w:r>
        <w:t xml:space="preserve">Abundance:</w:t>
      </w:r>
      <w:r>
        <w:t xml:space="preserve"> </w:t>
      </w:r>
      <w:r>
        <w:t xml:space="preserve">200+ (may be thousands)</w:t>
      </w:r>
    </w:p>
    <w:p>
      <w:pPr>
        <w:pStyle w:val="BodyText"/>
      </w:pPr>
      <w:r>
        <w:t xml:space="preserve">Notes:</w:t>
      </w:r>
      <w:r>
        <w:t xml:space="preserve"> </w:t>
      </w:r>
      <w:r>
        <w:t xml:space="preserve">Among the tule next to the water, north of the willow</w:t>
      </w:r>
    </w:p>
    <w:p>
      <w:pPr>
        <w:pStyle w:val="BodyText"/>
      </w:pPr>
    </w:p>
    <w:p>
      <w:pPr>
        <w:pStyle w:val="BodyText"/>
      </w:pPr>
      <w:r>
        <w:t xml:space="preserve">Feature ID:</w:t>
      </w:r>
      <w:r>
        <w:t xml:space="preserve"> </w:t>
      </w:r>
      <w:r>
        <w:t xml:space="preserve">1401 |</w:t>
      </w:r>
      <w:r>
        <w:t xml:space="preserve"> </w:t>
      </w:r>
      <w:r>
        <w:t xml:space="preserve">Date:</w:t>
      </w:r>
      <w:r>
        <w:t xml:space="preserve"> </w:t>
      </w:r>
      <w:r>
        <w:t xml:space="preserve">2025-07-30 |</w:t>
      </w:r>
      <w:r>
        <w:t xml:space="preserve"> </w:t>
      </w:r>
      <w:r>
        <w:t xml:space="preserve">Abundance:</w:t>
      </w:r>
      <w:r>
        <w:t xml:space="preserve"> </w:t>
      </w:r>
      <w:r>
        <w:t xml:space="preserve">200+ (may be thousands)</w:t>
      </w:r>
    </w:p>
    <w:p>
      <w:pPr>
        <w:pStyle w:val="BodyText"/>
      </w:pPr>
      <w:r>
        <w:t xml:space="preserve">Notes:</w:t>
      </w:r>
      <w:r>
        <w:t xml:space="preserve"> </w:t>
      </w:r>
      <w:r>
        <w:t xml:space="preserve">Among tule next to water, south of willow</w:t>
      </w:r>
    </w:p>
    <w:p>
      <w:pPr>
        <w:pStyle w:val="BodyText"/>
      </w:pPr>
    </w:p>
    <w:p>
      <w:pPr>
        <w:pStyle w:val="BodyText"/>
      </w:pPr>
      <w:r>
        <w:t xml:space="preserve">Feature ID:</w:t>
      </w:r>
      <w:r>
        <w:t xml:space="preserve"> </w:t>
      </w:r>
      <w:r>
        <w:t xml:space="preserve">1465 |</w:t>
      </w:r>
      <w:r>
        <w:t xml:space="preserve"> </w:t>
      </w:r>
      <w:r>
        <w:t xml:space="preserve">Date:</w:t>
      </w:r>
      <w:r>
        <w:t xml:space="preserve"> </w:t>
      </w:r>
      <w:r>
        <w:t xml:space="preserve">2025-07-30 |</w:t>
      </w:r>
      <w:r>
        <w:t xml:space="preserve"> </w:t>
      </w:r>
      <w:r>
        <w:t xml:space="preserve">Abundance:</w:t>
      </w:r>
      <w:r>
        <w:t xml:space="preserve"> </w:t>
      </w:r>
      <w:r>
        <w:t xml:space="preserve">200+ (may be thousands)</w:t>
      </w:r>
    </w:p>
    <w:p>
      <w:pPr>
        <w:pStyle w:val="BodyText"/>
      </w:pPr>
      <w:r>
        <w:t xml:space="preserve">Notes:</w:t>
      </w:r>
      <w:r>
        <w:t xml:space="preserve"> </w:t>
      </w:r>
      <w:r>
        <w:t xml:space="preserve">W BAHY + SCAC</w:t>
      </w:r>
    </w:p>
    <w:p>
      <w:pPr>
        <w:pStyle w:val="BodyText"/>
      </w:pPr>
    </w:p>
    <w:p>
      <w:pPr>
        <w:pStyle w:val="BodyText"/>
      </w:pPr>
      <w:r>
        <w:t xml:space="preserve">Feature ID:</w:t>
      </w:r>
      <w:r>
        <w:t xml:space="preserve"> </w:t>
      </w:r>
      <w:r>
        <w:t xml:space="preserve">1467 |</w:t>
      </w:r>
      <w:r>
        <w:t xml:space="preserve"> </w:t>
      </w:r>
      <w:r>
        <w:t xml:space="preserve">Date:</w:t>
      </w:r>
      <w:r>
        <w:t xml:space="preserve"> </w:t>
      </w:r>
      <w:r>
        <w:t xml:space="preserve">2025-07-30 |</w:t>
      </w:r>
      <w:r>
        <w:t xml:space="preserve"> </w:t>
      </w:r>
      <w:r>
        <w:t xml:space="preserve">Abundance:</w:t>
      </w:r>
      <w:r>
        <w:t xml:space="preserve"> </w:t>
      </w:r>
      <w:r>
        <w:t xml:space="preserve">200+ (may be thousands)</w:t>
      </w:r>
    </w:p>
    <w:p>
      <w:pPr>
        <w:pStyle w:val="BodyText"/>
      </w:pPr>
      <w:r>
        <w:t xml:space="preserve">Notes:</w:t>
      </w:r>
      <w:r>
        <w:t xml:space="preserve"> </w:t>
      </w:r>
      <w:r>
        <w:t xml:space="preserve">10-15m south of rivers edge</w:t>
      </w:r>
    </w:p>
    <w:p>
      <w:pPr>
        <w:pStyle w:val="BodyText"/>
      </w:pPr>
    </w:p>
    <w:p>
      <w:pPr>
        <w:pStyle w:val="BodyText"/>
      </w:pPr>
      <w:r>
        <w:t xml:space="preserve">Feature ID:</w:t>
      </w:r>
      <w:r>
        <w:t xml:space="preserve"> </w:t>
      </w:r>
      <w:r>
        <w:t xml:space="preserve">1473 |</w:t>
      </w:r>
      <w:r>
        <w:t xml:space="preserve"> </w:t>
      </w:r>
      <w:r>
        <w:t xml:space="preserve">Date:</w:t>
      </w:r>
      <w:r>
        <w:t xml:space="preserve"> </w:t>
      </w:r>
      <w:r>
        <w:t xml:space="preserve">2025-07-30 |</w:t>
      </w:r>
      <w:r>
        <w:t xml:space="preserve"> </w:t>
      </w:r>
      <w:r>
        <w:t xml:space="preserve">Abundance:</w:t>
      </w:r>
      <w:r>
        <w:t xml:space="preserve"> </w:t>
      </w:r>
      <w:r>
        <w:t xml:space="preserve">200+ (may be thousands)</w:t>
      </w:r>
    </w:p>
    <w:p>
      <w:pPr>
        <w:pStyle w:val="BodyText"/>
      </w:pPr>
      <w:r>
        <w:t xml:space="preserve">Notes:</w:t>
      </w:r>
      <w:r>
        <w:t xml:space="preserve"> </w:t>
      </w:r>
      <w:r>
        <w:t xml:space="preserve">8-10m from waters edge; 12-15m long stretch of LELA bordering large TARA</w:t>
      </w:r>
    </w:p>
    <w:p>
      <w:pPr>
        <w:pStyle w:val="BodyText"/>
      </w:pPr>
    </w:p>
    <w:p>
      <w:pPr>
        <w:pStyle w:val="BodyText"/>
      </w:pPr>
      <w:r>
        <w:t xml:space="preserve">Feature ID:</w:t>
      </w:r>
      <w:r>
        <w:t xml:space="preserve"> </w:t>
      </w:r>
      <w:r>
        <w:t xml:space="preserve">1475 |</w:t>
      </w:r>
      <w:r>
        <w:t xml:space="preserve"> </w:t>
      </w:r>
      <w:r>
        <w:t xml:space="preserve">Date:</w:t>
      </w:r>
      <w:r>
        <w:t xml:space="preserve"> </w:t>
      </w:r>
      <w:r>
        <w:t xml:space="preserve">2025-07-30 |</w:t>
      </w:r>
      <w:r>
        <w:t xml:space="preserve"> </w:t>
      </w:r>
      <w:r>
        <w:t xml:space="preserve">Abundance:</w:t>
      </w:r>
      <w:r>
        <w:t xml:space="preserve"> </w:t>
      </w:r>
      <w:r>
        <w:t xml:space="preserve">200+ (may be thousands)</w:t>
      </w:r>
    </w:p>
    <w:p>
      <w:pPr>
        <w:pStyle w:val="BodyText"/>
      </w:pPr>
      <w:r>
        <w:t xml:space="preserve">Notes:</w:t>
      </w:r>
      <w:r>
        <w:t xml:space="preserve"> </w:t>
      </w:r>
      <w:r>
        <w:t xml:space="preserve">20m long stretch 2-5m from river, dense</w:t>
      </w:r>
    </w:p>
    <w:p>
      <w:pPr>
        <w:pStyle w:val="BodyText"/>
      </w:pPr>
    </w:p>
    <w:p>
      <w:pPr>
        <w:pStyle w:val="BodyText"/>
      </w:pPr>
      <w:r>
        <w:t xml:space="preserve">Feature ID:</w:t>
      </w:r>
      <w:r>
        <w:t xml:space="preserve"> </w:t>
      </w:r>
      <w:r>
        <w:t xml:space="preserve">1482 |</w:t>
      </w:r>
      <w:r>
        <w:t xml:space="preserve"> </w:t>
      </w:r>
      <w:r>
        <w:t xml:space="preserve">Date:</w:t>
      </w:r>
      <w:r>
        <w:t xml:space="preserve"> </w:t>
      </w:r>
      <w:r>
        <w:t xml:space="preserve">2025-07-31 |</w:t>
      </w:r>
      <w:r>
        <w:t xml:space="preserve"> </w:t>
      </w:r>
      <w:r>
        <w:t xml:space="preserve">Abundance:</w:t>
      </w:r>
      <w:r>
        <w:t xml:space="preserve"> </w:t>
      </w:r>
      <w:r>
        <w:t xml:space="preserve">200+ (may be thousands)</w:t>
      </w:r>
    </w:p>
    <w:p>
      <w:pPr>
        <w:pStyle w:val="BodyText"/>
      </w:pPr>
    </w:p>
    <w:p>
      <w:pPr>
        <w:pStyle w:val="BodyText"/>
      </w:pPr>
      <w:r>
        <w:t xml:space="preserve">Feature ID:</w:t>
      </w:r>
      <w:r>
        <w:t xml:space="preserve"> </w:t>
      </w:r>
      <w:r>
        <w:t xml:space="preserve">1485 |</w:t>
      </w:r>
      <w:r>
        <w:t xml:space="preserve"> </w:t>
      </w:r>
      <w:r>
        <w:t xml:space="preserve">Date:</w:t>
      </w:r>
      <w:r>
        <w:t xml:space="preserve"> </w:t>
      </w:r>
      <w:r>
        <w:t xml:space="preserve">2025-07-31 |</w:t>
      </w:r>
      <w:r>
        <w:t xml:space="preserve"> </w:t>
      </w:r>
      <w:r>
        <w:t xml:space="preserve">Abundance:</w:t>
      </w:r>
      <w:r>
        <w:t xml:space="preserve"> </w:t>
      </w:r>
      <w:r>
        <w:t xml:space="preserve">200+ (may be thousands)</w:t>
      </w:r>
    </w:p>
    <w:p>
      <w:pPr>
        <w:pStyle w:val="BodyText"/>
      </w:pPr>
      <w:r>
        <w:t xml:space="preserve">Notes:</w:t>
      </w:r>
      <w:r>
        <w:t xml:space="preserve"> </w:t>
      </w:r>
      <w:r>
        <w:t xml:space="preserve">W/ ASFA</w:t>
      </w:r>
    </w:p>
    <w:p>
      <w:pPr>
        <w:pStyle w:val="BodyText"/>
      </w:pPr>
    </w:p>
    <w:p>
      <w:pPr>
        <w:pStyle w:val="BodyText"/>
      </w:pPr>
      <w:r>
        <w:t xml:space="preserve">Feature ID:</w:t>
      </w:r>
      <w:r>
        <w:t xml:space="preserve"> </w:t>
      </w:r>
      <w:r>
        <w:t xml:space="preserve">1490 |</w:t>
      </w:r>
      <w:r>
        <w:t xml:space="preserve"> </w:t>
      </w:r>
      <w:r>
        <w:t xml:space="preserve">Date:</w:t>
      </w:r>
      <w:r>
        <w:t xml:space="preserve"> </w:t>
      </w:r>
      <w:r>
        <w:t xml:space="preserve">2025-07-31 |</w:t>
      </w:r>
      <w:r>
        <w:t xml:space="preserve"> </w:t>
      </w:r>
      <w:r>
        <w:t xml:space="preserve">Abundance:</w:t>
      </w:r>
      <w:r>
        <w:t xml:space="preserve"> </w:t>
      </w:r>
      <w:r>
        <w:t xml:space="preserve">200+ (may be thousands)</w:t>
      </w:r>
    </w:p>
    <w:p>
      <w:pPr>
        <w:pStyle w:val="BodyText"/>
      </w:pPr>
      <w:r>
        <w:t xml:space="preserve">Notes:</w:t>
      </w:r>
      <w:r>
        <w:t xml:space="preserve"> </w:t>
      </w:r>
      <w:r>
        <w:t xml:space="preserve">W/ dead BAHY</w:t>
      </w:r>
    </w:p>
    <w:p>
      <w:pPr>
        <w:pStyle w:val="BodyText"/>
      </w:pPr>
    </w:p>
    <w:p>
      <w:pPr>
        <w:pStyle w:val="BodyText"/>
      </w:pPr>
      <w:r>
        <w:t xml:space="preserve">Feature ID:</w:t>
      </w:r>
      <w:r>
        <w:t xml:space="preserve"> </w:t>
      </w:r>
      <w:r>
        <w:t xml:space="preserve">1495 |</w:t>
      </w:r>
      <w:r>
        <w:t xml:space="preserve"> </w:t>
      </w:r>
      <w:r>
        <w:t xml:space="preserve">Date:</w:t>
      </w:r>
      <w:r>
        <w:t xml:space="preserve"> </w:t>
      </w:r>
      <w:r>
        <w:t xml:space="preserve">2025-07-31 |</w:t>
      </w:r>
      <w:r>
        <w:t xml:space="preserve"> </w:t>
      </w:r>
      <w:r>
        <w:t xml:space="preserve">Abundance:</w:t>
      </w:r>
      <w:r>
        <w:t xml:space="preserve"> </w:t>
      </w:r>
      <w:r>
        <w:t xml:space="preserve">200+ (may be thousands)</w:t>
      </w:r>
    </w:p>
    <w:p>
      <w:pPr>
        <w:pStyle w:val="BodyText"/>
      </w:pPr>
      <w:r>
        <w:t xml:space="preserve">Notes:</w:t>
      </w:r>
      <w:r>
        <w:t xml:space="preserve"> </w:t>
      </w:r>
      <w:r>
        <w:t xml:space="preserve">W) ASFA ELTR TYPHA</w:t>
      </w:r>
    </w:p>
    <w:p>
      <w:pPr>
        <w:pStyle w:val="BodyText"/>
      </w:pPr>
    </w:p>
    <w:p>
      <w:pPr>
        <w:pStyle w:val="BodyText"/>
      </w:pPr>
      <w:r>
        <w:t xml:space="preserve">Feature ID:</w:t>
      </w:r>
      <w:r>
        <w:t xml:space="preserve"> </w:t>
      </w:r>
      <w:r>
        <w:t xml:space="preserve">1501 |</w:t>
      </w:r>
      <w:r>
        <w:t xml:space="preserve"> </w:t>
      </w:r>
      <w:r>
        <w:t xml:space="preserve">Date:</w:t>
      </w:r>
      <w:r>
        <w:t xml:space="preserve"> </w:t>
      </w:r>
      <w:r>
        <w:t xml:space="preserve">2025-07-31 |</w:t>
      </w:r>
      <w:r>
        <w:t xml:space="preserve"> </w:t>
      </w:r>
      <w:r>
        <w:t xml:space="preserve">Abundance:</w:t>
      </w:r>
      <w:r>
        <w:t xml:space="preserve"> </w:t>
      </w:r>
      <w:r>
        <w:t xml:space="preserve">200+ (may be thousands)</w:t>
      </w:r>
    </w:p>
    <w:p>
      <w:pPr>
        <w:pStyle w:val="BodyText"/>
      </w:pPr>
      <w:r>
        <w:t xml:space="preserve">Notes:</w:t>
      </w:r>
      <w:r>
        <w:t xml:space="preserve"> </w:t>
      </w:r>
      <w:r>
        <w:t xml:space="preserve">W/ ASFA</w:t>
      </w:r>
    </w:p>
    <w:p>
      <w:pPr>
        <w:pStyle w:val="BodyText"/>
      </w:pPr>
    </w:p>
    <w:p>
      <w:pPr>
        <w:pStyle w:val="BodyText"/>
      </w:pPr>
      <w:r>
        <w:t xml:space="preserve">Feature ID:</w:t>
      </w:r>
      <w:r>
        <w:t xml:space="preserve"> </w:t>
      </w:r>
      <w:r>
        <w:t xml:space="preserve">1506 |</w:t>
      </w:r>
      <w:r>
        <w:t xml:space="preserve"> </w:t>
      </w:r>
      <w:r>
        <w:t xml:space="preserve">Date:</w:t>
      </w:r>
      <w:r>
        <w:t xml:space="preserve"> </w:t>
      </w:r>
      <w:r>
        <w:t xml:space="preserve">2025-07-31 |</w:t>
      </w:r>
      <w:r>
        <w:t xml:space="preserve"> </w:t>
      </w:r>
      <w:r>
        <w:t xml:space="preserve">Abundance:</w:t>
      </w:r>
      <w:r>
        <w:t xml:space="preserve"> </w:t>
      </w:r>
      <w:r>
        <w:t xml:space="preserve">200+ (may be thousands)</w:t>
      </w:r>
    </w:p>
    <w:p>
      <w:pPr>
        <w:pStyle w:val="BodyText"/>
      </w:pPr>
    </w:p>
    <w:p>
      <w:pPr>
        <w:pStyle w:val="BodyText"/>
      </w:pPr>
      <w:r>
        <w:t xml:space="preserve">Feature ID:</w:t>
      </w:r>
      <w:r>
        <w:t xml:space="preserve"> </w:t>
      </w:r>
      <w:r>
        <w:t xml:space="preserve">1507 |</w:t>
      </w:r>
      <w:r>
        <w:t xml:space="preserve"> </w:t>
      </w:r>
      <w:r>
        <w:t xml:space="preserve">Date:</w:t>
      </w:r>
      <w:r>
        <w:t xml:space="preserve"> </w:t>
      </w:r>
      <w:r>
        <w:t xml:space="preserve">2025-07-31 |</w:t>
      </w:r>
      <w:r>
        <w:t xml:space="preserve"> </w:t>
      </w:r>
      <w:r>
        <w:t xml:space="preserve">Abundance:</w:t>
      </w:r>
      <w:r>
        <w:t xml:space="preserve"> </w:t>
      </w:r>
      <w:r>
        <w:t xml:space="preserve">200+ (may be thousands)</w:t>
      </w:r>
    </w:p>
    <w:p>
      <w:pPr>
        <w:pStyle w:val="BodyText"/>
      </w:pPr>
    </w:p>
    <w:p>
      <w:pPr>
        <w:pStyle w:val="BodyText"/>
      </w:pPr>
      <w:r>
        <w:t xml:space="preserve">Feature ID:</w:t>
      </w:r>
      <w:r>
        <w:t xml:space="preserve"> </w:t>
      </w:r>
      <w:r>
        <w:t xml:space="preserve">1508 |</w:t>
      </w:r>
      <w:r>
        <w:t xml:space="preserve"> </w:t>
      </w:r>
      <w:r>
        <w:t xml:space="preserve">Date:</w:t>
      </w:r>
      <w:r>
        <w:t xml:space="preserve"> </w:t>
      </w:r>
      <w:r>
        <w:t xml:space="preserve">2025-07-31 |</w:t>
      </w:r>
      <w:r>
        <w:t xml:space="preserve"> </w:t>
      </w:r>
      <w:r>
        <w:t xml:space="preserve">Abundance:</w:t>
      </w:r>
      <w:r>
        <w:t xml:space="preserve"> </w:t>
      </w:r>
      <w:r>
        <w:t xml:space="preserve">200+ (may be thousands)</w:t>
      </w:r>
    </w:p>
    <w:p>
      <w:pPr>
        <w:pStyle w:val="BodyText"/>
      </w:pPr>
    </w:p>
    <w:p>
      <w:pPr>
        <w:pStyle w:val="BodyText"/>
      </w:pPr>
      <w:r>
        <w:t xml:space="preserve">Feature ID:</w:t>
      </w:r>
      <w:r>
        <w:t xml:space="preserve"> </w:t>
      </w:r>
      <w:r>
        <w:t xml:space="preserve">1510 |</w:t>
      </w:r>
      <w:r>
        <w:t xml:space="preserve"> </w:t>
      </w:r>
      <w:r>
        <w:t xml:space="preserve">Date:</w:t>
      </w:r>
      <w:r>
        <w:t xml:space="preserve"> </w:t>
      </w:r>
      <w:r>
        <w:t xml:space="preserve">2025-07-31 |</w:t>
      </w:r>
      <w:r>
        <w:t xml:space="preserve"> </w:t>
      </w:r>
      <w:r>
        <w:t xml:space="preserve">Abundance:</w:t>
      </w:r>
      <w:r>
        <w:t xml:space="preserve"> </w:t>
      </w:r>
      <w:r>
        <w:t xml:space="preserve">200+ (may be thousands)</w:t>
      </w:r>
    </w:p>
    <w:p>
      <w:pPr>
        <w:pStyle w:val="BodyText"/>
      </w:pPr>
    </w:p>
    <w:p>
      <w:pPr>
        <w:pStyle w:val="BodyText"/>
      </w:pPr>
      <w:r>
        <w:t xml:space="preserve">Feature ID:</w:t>
      </w:r>
      <w:r>
        <w:t xml:space="preserve"> </w:t>
      </w:r>
      <w:r>
        <w:t xml:space="preserve">1515 |</w:t>
      </w:r>
      <w:r>
        <w:t xml:space="preserve"> </w:t>
      </w:r>
      <w:r>
        <w:t xml:space="preserve">Date:</w:t>
      </w:r>
      <w:r>
        <w:t xml:space="preserve"> </w:t>
      </w:r>
      <w:r>
        <w:t xml:space="preserve">2025-07-31 |</w:t>
      </w:r>
      <w:r>
        <w:t xml:space="preserve"> </w:t>
      </w:r>
      <w:r>
        <w:t xml:space="preserve">Abundance:</w:t>
      </w:r>
      <w:r>
        <w:t xml:space="preserve"> </w:t>
      </w:r>
      <w:r>
        <w:t xml:space="preserve">200+ (may be thousands)</w:t>
      </w:r>
    </w:p>
    <w:p>
      <w:pPr>
        <w:pStyle w:val="BodyText"/>
      </w:pPr>
    </w:p>
    <w:p>
      <w:pPr>
        <w:pStyle w:val="BodyText"/>
      </w:pPr>
      <w:r>
        <w:t xml:space="preserve">Feature ID:</w:t>
      </w:r>
      <w:r>
        <w:t xml:space="preserve"> </w:t>
      </w:r>
      <w:r>
        <w:t xml:space="preserve">1516 |</w:t>
      </w:r>
      <w:r>
        <w:t xml:space="preserve"> </w:t>
      </w:r>
      <w:r>
        <w:t xml:space="preserve">Date:</w:t>
      </w:r>
      <w:r>
        <w:t xml:space="preserve"> </w:t>
      </w:r>
      <w:r>
        <w:t xml:space="preserve">2025-07-31 |</w:t>
      </w:r>
      <w:r>
        <w:t xml:space="preserve"> </w:t>
      </w:r>
      <w:r>
        <w:t xml:space="preserve">Abundance:</w:t>
      </w:r>
      <w:r>
        <w:t xml:space="preserve"> </w:t>
      </w:r>
      <w:r>
        <w:t xml:space="preserve">200+ (may be thousands)</w:t>
      </w:r>
    </w:p>
    <w:p>
      <w:pPr>
        <w:pStyle w:val="BodyText"/>
      </w:pPr>
    </w:p>
    <w:p>
      <w:pPr>
        <w:pStyle w:val="BodyText"/>
      </w:pPr>
      <w:r>
        <w:t xml:space="preserve">Feature ID:</w:t>
      </w:r>
      <w:r>
        <w:t xml:space="preserve"> </w:t>
      </w:r>
      <w:r>
        <w:t xml:space="preserve">1527 |</w:t>
      </w:r>
      <w:r>
        <w:t xml:space="preserve"> </w:t>
      </w:r>
      <w:r>
        <w:t xml:space="preserve">Date:</w:t>
      </w:r>
      <w:r>
        <w:t xml:space="preserve"> </w:t>
      </w:r>
      <w:r>
        <w:t xml:space="preserve">2025-07-31 |</w:t>
      </w:r>
      <w:r>
        <w:t xml:space="preserve"> </w:t>
      </w:r>
      <w:r>
        <w:t xml:space="preserve">Abundance:</w:t>
      </w:r>
      <w:r>
        <w:t xml:space="preserve"> </w:t>
      </w:r>
      <w:r>
        <w:t xml:space="preserve">200+ (may be thousands)</w:t>
      </w:r>
    </w:p>
    <w:p>
      <w:pPr>
        <w:pStyle w:val="BodyText"/>
      </w:pPr>
    </w:p>
    <w:p>
      <w:pPr>
        <w:pStyle w:val="BodyText"/>
      </w:pPr>
      <w:r>
        <w:t xml:space="preserve">Feature ID:</w:t>
      </w:r>
      <w:r>
        <w:t xml:space="preserve"> </w:t>
      </w:r>
      <w:r>
        <w:t xml:space="preserve">1529 |</w:t>
      </w:r>
      <w:r>
        <w:t xml:space="preserve"> </w:t>
      </w:r>
      <w:r>
        <w:t xml:space="preserve">Date:</w:t>
      </w:r>
      <w:r>
        <w:t xml:space="preserve"> </w:t>
      </w:r>
      <w:r>
        <w:t xml:space="preserve">2025-07-31 |</w:t>
      </w:r>
      <w:r>
        <w:t xml:space="preserve"> </w:t>
      </w:r>
      <w:r>
        <w:t xml:space="preserve">Abundance:</w:t>
      </w:r>
      <w:r>
        <w:t xml:space="preserve"> </w:t>
      </w:r>
      <w:r>
        <w:t xml:space="preserve">200+ (may be thousands)</w:t>
      </w:r>
    </w:p>
    <w:p>
      <w:pPr>
        <w:pStyle w:val="BodyText"/>
      </w:pPr>
    </w:p>
    <w:p>
      <w:pPr>
        <w:pStyle w:val="BodyText"/>
      </w:pPr>
      <w:r>
        <w:t xml:space="preserve">Feature ID:</w:t>
      </w:r>
      <w:r>
        <w:t xml:space="preserve"> </w:t>
      </w:r>
      <w:r>
        <w:t xml:space="preserve">1535 |</w:t>
      </w:r>
      <w:r>
        <w:t xml:space="preserve"> </w:t>
      </w:r>
      <w:r>
        <w:t xml:space="preserve">Date:</w:t>
      </w:r>
      <w:r>
        <w:t xml:space="preserve"> </w:t>
      </w:r>
      <w:r>
        <w:t xml:space="preserve">2025-07-31 |</w:t>
      </w:r>
      <w:r>
        <w:t xml:space="preserve"> </w:t>
      </w:r>
      <w:r>
        <w:t xml:space="preserve">Abundance:</w:t>
      </w:r>
      <w:r>
        <w:t xml:space="preserve"> </w:t>
      </w:r>
      <w:r>
        <w:t xml:space="preserve">200+ (may be thousands)</w:t>
      </w:r>
    </w:p>
    <w:p>
      <w:pPr>
        <w:pStyle w:val="BodyText"/>
      </w:pPr>
    </w:p>
    <w:p>
      <w:pPr>
        <w:pStyle w:val="BodyText"/>
      </w:pPr>
      <w:r>
        <w:t xml:space="preserve">Feature ID:</w:t>
      </w:r>
      <w:r>
        <w:t xml:space="preserve"> </w:t>
      </w:r>
      <w:r>
        <w:t xml:space="preserve">1538 |</w:t>
      </w:r>
      <w:r>
        <w:t xml:space="preserve"> </w:t>
      </w:r>
      <w:r>
        <w:t xml:space="preserve">Date:</w:t>
      </w:r>
      <w:r>
        <w:t xml:space="preserve"> </w:t>
      </w:r>
      <w:r>
        <w:t xml:space="preserve">2025-07-31 |</w:t>
      </w:r>
      <w:r>
        <w:t xml:space="preserve"> </w:t>
      </w:r>
      <w:r>
        <w:t xml:space="preserve">Abundance:</w:t>
      </w:r>
      <w:r>
        <w:t xml:space="preserve"> </w:t>
      </w:r>
      <w:r>
        <w:t xml:space="preserve">200+ (may be thousands)</w:t>
      </w:r>
    </w:p>
    <w:p>
      <w:pPr>
        <w:pStyle w:val="BodyText"/>
      </w:pPr>
    </w:p>
    <w:p>
      <w:pPr>
        <w:pStyle w:val="BodyText"/>
      </w:pPr>
      <w:r>
        <w:t xml:space="preserve">Feature ID:</w:t>
      </w:r>
      <w:r>
        <w:t xml:space="preserve"> </w:t>
      </w:r>
      <w:r>
        <w:t xml:space="preserve">1545 |</w:t>
      </w:r>
      <w:r>
        <w:t xml:space="preserve"> </w:t>
      </w:r>
      <w:r>
        <w:t xml:space="preserve">Date:</w:t>
      </w:r>
      <w:r>
        <w:t xml:space="preserve"> </w:t>
      </w:r>
      <w:r>
        <w:t xml:space="preserve">2025-07-31 |</w:t>
      </w:r>
      <w:r>
        <w:t xml:space="preserve"> </w:t>
      </w:r>
      <w:r>
        <w:t xml:space="preserve">Abundance:</w:t>
      </w:r>
      <w:r>
        <w:t xml:space="preserve"> </w:t>
      </w:r>
      <w:r>
        <w:t xml:space="preserve">200+ (may be thousands)</w:t>
      </w:r>
    </w:p>
    <w:p>
      <w:pPr>
        <w:pStyle w:val="BodyText"/>
      </w:pPr>
    </w:p>
    <w:p>
      <w:pPr>
        <w:pStyle w:val="BodyText"/>
      </w:pPr>
      <w:r>
        <w:t xml:space="preserve">Feature ID:</w:t>
      </w:r>
      <w:r>
        <w:t xml:space="preserve"> </w:t>
      </w:r>
      <w:r>
        <w:t xml:space="preserve">1547 |</w:t>
      </w:r>
      <w:r>
        <w:t xml:space="preserve"> </w:t>
      </w:r>
      <w:r>
        <w:t xml:space="preserve">Date:</w:t>
      </w:r>
      <w:r>
        <w:t xml:space="preserve"> </w:t>
      </w:r>
      <w:r>
        <w:t xml:space="preserve">2025-07-31 |</w:t>
      </w:r>
      <w:r>
        <w:t xml:space="preserve"> </w:t>
      </w:r>
      <w:r>
        <w:t xml:space="preserve">Abundance:</w:t>
      </w:r>
      <w:r>
        <w:t xml:space="preserve"> </w:t>
      </w:r>
      <w:r>
        <w:t xml:space="preserve">200+ (may be thousands)</w:t>
      </w:r>
    </w:p>
    <w:p>
      <w:pPr>
        <w:pStyle w:val="BodyText"/>
      </w:pPr>
    </w:p>
    <w:p>
      <w:pPr>
        <w:pStyle w:val="BodyText"/>
      </w:pPr>
      <w:r>
        <w:t xml:space="preserve">Feature ID:</w:t>
      </w:r>
      <w:r>
        <w:t xml:space="preserve"> </w:t>
      </w:r>
      <w:r>
        <w:t xml:space="preserve">1563 |</w:t>
      </w:r>
      <w:r>
        <w:t xml:space="preserve"> </w:t>
      </w:r>
      <w:r>
        <w:t xml:space="preserve">Date:</w:t>
      </w:r>
      <w:r>
        <w:t xml:space="preserve"> </w:t>
      </w:r>
      <w:r>
        <w:t xml:space="preserve">2025-07-31 |</w:t>
      </w:r>
      <w:r>
        <w:t xml:space="preserve"> </w:t>
      </w:r>
      <w:r>
        <w:t xml:space="preserve">Abundance:</w:t>
      </w:r>
      <w:r>
        <w:t xml:space="preserve"> </w:t>
      </w:r>
      <w:r>
        <w:t xml:space="preserve">200+ (may be thousands)</w:t>
      </w:r>
    </w:p>
    <w:p>
      <w:pPr>
        <w:pStyle w:val="BodyText"/>
      </w:pPr>
    </w:p>
    <w:p>
      <w:pPr>
        <w:pStyle w:val="BodyText"/>
      </w:pPr>
      <w:r>
        <w:t xml:space="preserve">Feature ID:</w:t>
      </w:r>
      <w:r>
        <w:t xml:space="preserve"> </w:t>
      </w:r>
      <w:r>
        <w:t xml:space="preserve">1583 |</w:t>
      </w:r>
      <w:r>
        <w:t xml:space="preserve"> </w:t>
      </w:r>
      <w:r>
        <w:t xml:space="preserve">Date:</w:t>
      </w:r>
      <w:r>
        <w:t xml:space="preserve"> </w:t>
      </w:r>
      <w:r>
        <w:t xml:space="preserve">2025-08-04 |</w:t>
      </w:r>
      <w:r>
        <w:t xml:space="preserve"> </w:t>
      </w:r>
      <w:r>
        <w:t xml:space="preserve">Abundance:</w:t>
      </w:r>
      <w:r>
        <w:t xml:space="preserve"> </w:t>
      </w:r>
      <w:r>
        <w:t xml:space="preserve">200+ (may be thousands)</w:t>
      </w:r>
    </w:p>
    <w:p>
      <w:pPr>
        <w:pStyle w:val="BodyText"/>
      </w:pPr>
      <w:r>
        <w:t xml:space="preserve">Notes:</w:t>
      </w:r>
      <w:r>
        <w:t xml:space="preserve"> </w:t>
      </w:r>
      <w:r>
        <w:t xml:space="preserve">Along bank, flowering</w:t>
      </w:r>
    </w:p>
    <w:p>
      <w:pPr>
        <w:pStyle w:val="BodyText"/>
      </w:pPr>
    </w:p>
    <w:p>
      <w:pPr>
        <w:pStyle w:val="BodyText"/>
      </w:pPr>
      <w:r>
        <w:t xml:space="preserve">Feature ID:</w:t>
      </w:r>
      <w:r>
        <w:t xml:space="preserve"> </w:t>
      </w:r>
      <w:r>
        <w:t xml:space="preserve">1598 |</w:t>
      </w:r>
      <w:r>
        <w:t xml:space="preserve"> </w:t>
      </w:r>
      <w:r>
        <w:t xml:space="preserve">Date:</w:t>
      </w:r>
      <w:r>
        <w:t xml:space="preserve"> </w:t>
      </w:r>
      <w:r>
        <w:t xml:space="preserve">2025-08-04 |</w:t>
      </w:r>
      <w:r>
        <w:t xml:space="preserve"> </w:t>
      </w:r>
      <w:r>
        <w:t xml:space="preserve">Abundance:</w:t>
      </w:r>
      <w:r>
        <w:t xml:space="preserve"> </w:t>
      </w:r>
      <w:r>
        <w:t xml:space="preserve">200+ (may be thousands)</w:t>
      </w:r>
    </w:p>
    <w:p>
      <w:pPr>
        <w:pStyle w:val="BodyText"/>
      </w:pPr>
      <w:r>
        <w:t xml:space="preserve">Notes:</w:t>
      </w:r>
      <w:r>
        <w:t xml:space="preserve"> </w:t>
      </w:r>
      <w:r>
        <w:t xml:space="preserve">Several large patches around this point</w:t>
      </w:r>
    </w:p>
    <w:p>
      <w:pPr>
        <w:pStyle w:val="BodyText"/>
      </w:pPr>
    </w:p>
    <w:p>
      <w:pPr>
        <w:pStyle w:val="BodyText"/>
      </w:pPr>
      <w:r>
        <w:t xml:space="preserve">Feature ID:</w:t>
      </w:r>
      <w:r>
        <w:t xml:space="preserve"> </w:t>
      </w:r>
      <w:r>
        <w:t xml:space="preserve">1650 |</w:t>
      </w:r>
      <w:r>
        <w:t xml:space="preserve"> </w:t>
      </w:r>
      <w:r>
        <w:t xml:space="preserve">Date:</w:t>
      </w:r>
      <w:r>
        <w:t xml:space="preserve"> </w:t>
      </w:r>
      <w:r>
        <w:t xml:space="preserve">2025-08-04 |</w:t>
      </w:r>
      <w:r>
        <w:t xml:space="preserve"> </w:t>
      </w:r>
      <w:r>
        <w:t xml:space="preserve">Abundance:</w:t>
      </w:r>
      <w:r>
        <w:t xml:space="preserve"> </w:t>
      </w:r>
      <w:r>
        <w:t xml:space="preserve">200+ (may be thousands)</w:t>
      </w:r>
    </w:p>
    <w:p>
      <w:pPr>
        <w:pStyle w:val="BodyText"/>
      </w:pPr>
    </w:p>
    <w:p>
      <w:pPr>
        <w:pStyle w:val="BodyText"/>
      </w:pPr>
      <w:r>
        <w:t xml:space="preserve">Feature ID:</w:t>
      </w:r>
      <w:r>
        <w:t xml:space="preserve"> </w:t>
      </w:r>
      <w:r>
        <w:t xml:space="preserve">1367 |</w:t>
      </w:r>
      <w:r>
        <w:t xml:space="preserve"> </w:t>
      </w:r>
      <w:r>
        <w:t xml:space="preserve">Date:</w:t>
      </w:r>
      <w:r>
        <w:t xml:space="preserve"> </w:t>
      </w:r>
      <w:r>
        <w:t xml:space="preserve">2025-04-01 |</w:t>
      </w:r>
      <w:r>
        <w:t xml:space="preserve"> </w:t>
      </w:r>
      <w:r>
        <w:t xml:space="preserve">Abundance:</w:t>
      </w:r>
      <w:r>
        <w:t xml:space="preserve"> </w:t>
      </w:r>
      <w:r>
        <w:t xml:space="preserve">100</w:t>
      </w:r>
    </w:p>
    <w:p>
      <w:pPr>
        <w:pStyle w:val="BodyText"/>
      </w:pPr>
      <w:r>
        <w:rPr>
          <w:i/>
          <w:iCs/>
        </w:rPr>
        <w:t xml:space="preserve">Field documentation images provide visual confirmation of pepperweed sites and help verify site characteristics.</w:t>
      </w:r>
    </w:p>
    <w:bookmarkEnd w:id="60"/>
    <w:bookmarkEnd w:id="61"/>
    <w:bookmarkStart w:id="63" w:name="conclusion"/>
    <w:p>
      <w:pPr>
        <w:pStyle w:val="Titre1"/>
      </w:pPr>
      <w:r>
        <w:t xml:space="preserve">9. Conclusion</w:t>
      </w:r>
    </w:p>
    <w:p>
      <w:pPr>
        <w:pStyle w:val="FirstParagraph"/>
      </w:pPr>
      <w:r>
        <w:t xml:space="preserve">The 2018-2025 data reveals expanding pepperweed distribution within the LORP area. The interactive mapping tool provides land managers with a visualization tool for identifying and prioritizing treatment areas over time.</w:t>
      </w:r>
    </w:p>
    <w:p>
      <w:pPr>
        <w:pStyle w:val="BodyText"/>
      </w:pPr>
      <w:r>
        <w:t xml:space="preserve">This report will be updated as new data are added to the live feature service. The data source is available at:</w:t>
      </w:r>
      <w:r>
        <w:t xml:space="preserve"> </w:t>
      </w:r>
      <w:hyperlink r:id="rId21">
        <w:r>
          <w:rPr>
            <w:rStyle w:val="Hyperlink"/>
          </w:rPr>
          <w:t xml:space="preserve">ArcGIS REST Service</w:t>
        </w:r>
      </w:hyperlink>
    </w:p>
    <w:bookmarkStart w:id="62" w:name="data-disclaimer"/>
    <w:p>
      <w:pPr>
        <w:pStyle w:val="Titre2"/>
      </w:pPr>
      <w:r>
        <w:t xml:space="preserve">9.1 Data Disclaimer</w:t>
      </w:r>
    </w:p>
    <w:p>
      <w:pPr>
        <w:pStyle w:val="FirstParagraph"/>
      </w:pPr>
      <w:r>
        <w:t xml:space="preserve">The data presented in this report are collected for monitoring and management purposes by the Inyo County Water Department. While every effort is made to ensure accuracy, field conditions, survey timing, and observer experience may affect data quality. Users should verify critical information independently before making management decisions.</w:t>
      </w:r>
    </w:p>
    <w:p>
      <w:r>
        <w:pict>
          <v:rect style="width:0;height:1.5pt" o:hralign="center" o:hrstd="t" o:hr="t"/>
        </w:pict>
      </w:r>
    </w:p>
    <w:p>
      <w:pPr>
        <w:pStyle w:val="FirstParagraph"/>
      </w:pPr>
      <w:r>
        <w:rPr>
          <w:b/>
          <w:bCs/>
        </w:rPr>
        <w:t xml:space="preserve">Inyo County Water Department</w:t>
      </w:r>
      <w:r>
        <w:br/>
      </w:r>
      <w:r>
        <w:t xml:space="preserve">© 2025 Inyo County, California. All rights reserved.</w:t>
      </w:r>
    </w:p>
    <w:p>
      <w:pPr>
        <w:pStyle w:val="BodyText"/>
      </w:pPr>
      <w:r>
        <w:rPr>
          <w:i/>
          <w:iCs/>
        </w:rPr>
        <w:t xml:space="preserve">This analysis is automatically updated when new data is added to the ArcGIS feature service.</w:t>
      </w:r>
    </w:p>
    <w:bookmarkEnd w:id="62"/>
    <w:bookmarkEnd w:id="63"/>
    <w:sectPr w:rsidR="001379FE" w:rsidSect="00747CCE">
      <w:type w:val="continuous"/>
      <w:pgSz w:h="16840" w:w="11900"/>
      <w:pgMar w:bottom="1417" w:footer="708" w:gutter="0" w:header="708" w:left="1417" w:right="1417"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07E925FD"/>
    <w:multiLevelType w:val="multilevel"/>
    <w:tmpl w:val="88F45F08"/>
    <w:lvl w:ilvl="0">
      <w:start w:val="1"/>
      <w:numFmt w:val="decimal"/>
      <w:pStyle w:val="Titre1"/>
      <w:lvlText w:val="%1."/>
      <w:lvlJc w:val="left"/>
      <w:pPr>
        <w:ind w:hanging="360" w:left="360"/>
      </w:pPr>
    </w:lvl>
    <w:lvl w:ilvl="1">
      <w:start w:val="1"/>
      <w:numFmt w:val="decimal"/>
      <w:pStyle w:val="Titre2"/>
      <w:lvlText w:val="%1.%2."/>
      <w:lvlJc w:val="left"/>
      <w:pPr>
        <w:ind w:hanging="432" w:left="792"/>
      </w:pPr>
    </w:lvl>
    <w:lvl w:ilvl="2">
      <w:start w:val="1"/>
      <w:numFmt w:val="decimal"/>
      <w:pStyle w:val="Titre3"/>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
    <w:nsid w:val="5B882B35"/>
    <w:multiLevelType w:val="multilevel"/>
    <w:tmpl w:val="6F30E74C"/>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
    <w:nsid w:val="5EFC3234"/>
    <w:multiLevelType w:val="multilevel"/>
    <w:tmpl w:val="0A86311A"/>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0"/>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itre1" w:type="paragraph">
    <w:name w:val="heading 1"/>
    <w:basedOn w:val="Normal"/>
    <w:next w:val="Normal"/>
    <w:link w:val="Titre1Car"/>
    <w:uiPriority w:val="9"/>
    <w:qFormat/>
    <w:rsid w:val="00362E65"/>
    <w:pPr>
      <w:keepNext/>
      <w:keepLines/>
      <w:numPr>
        <w:numId w:val="3"/>
      </w:numPr>
      <w:pBdr>
        <w:bottom w:color="auto" w:space="1" w:sz="4" w:val="single"/>
      </w:pBdr>
      <w:spacing w:before="480"/>
      <w:outlineLvl w:val="0"/>
    </w:pPr>
    <w:rPr>
      <w:rFonts w:asciiTheme="majorHAnsi" w:cstheme="majorBidi" w:eastAsiaTheme="majorEastAsia" w:hAnsiTheme="majorHAnsi"/>
      <w:b/>
      <w:bCs/>
      <w:sz w:val="32"/>
      <w:szCs w:val="32"/>
    </w:rPr>
  </w:style>
  <w:style w:styleId="Titre2" w:type="paragraph">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cstheme="majorBidi" w:eastAsiaTheme="majorEastAsia" w:hAnsiTheme="majorHAnsi"/>
      <w:b/>
      <w:bCs/>
      <w:sz w:val="26"/>
      <w:szCs w:val="26"/>
    </w:rPr>
  </w:style>
  <w:style w:styleId="Titre3" w:type="paragraph">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cstheme="majorBidi" w:eastAsiaTheme="majorEastAsia" w:hAnsiTheme="majorHAnsi"/>
      <w:b/>
      <w:bCs/>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strong" w:type="character">
    <w:name w:val="strong"/>
    <w:basedOn w:val="Policepardfaut"/>
    <w:uiPriority w:val="1"/>
    <w:qFormat/>
    <w:rsid w:val="007B3E96"/>
    <w:rPr>
      <w:b/>
    </w:rPr>
  </w:style>
  <w:style w:customStyle="1" w:styleId="centered" w:type="paragraph">
    <w:name w:val="centered"/>
    <w:basedOn w:val="Normal"/>
    <w:qFormat/>
    <w:rsid w:val="001D75AB"/>
    <w:pPr>
      <w:jc w:val="center"/>
    </w:pPr>
  </w:style>
  <w:style w:customStyle="1" w:styleId="tabletemplate" w:type="table">
    <w:name w:val="table_template"/>
    <w:basedOn w:val="TableauNormal"/>
    <w:uiPriority w:val="59"/>
    <w:rsid w:val="00F12158"/>
    <w:pPr>
      <w:jc w:val="right"/>
    </w:pPr>
    <w:tblPr>
      <w:jc w:val="center"/>
      <w:tblBorders>
        <w:top w:color="auto" w:space="0" w:sz="8" w:val="single"/>
        <w:bottom w:color="auto" w:space="0" w:sz="8" w:val="single"/>
        <w:insideH w:color="auto" w:space="0" w:sz="8" w:val="single"/>
      </w:tblBorders>
    </w:tblPr>
    <w:trPr>
      <w:jc w:val="center"/>
    </w:trPr>
    <w:tblStylePr w:type="firstRow">
      <w:rPr>
        <w:b/>
      </w:rPr>
      <w:tblPr/>
      <w:tcPr>
        <w:tcBorders>
          <w:top w:val="nil"/>
          <w:left w:val="nil"/>
          <w:bottom w:color="auto" w:space="0" w:sz="18" w:val="single"/>
          <w:right w:val="nil"/>
          <w:insideH w:val="nil"/>
          <w:insideV w:val="nil"/>
          <w:tl2br w:val="nil"/>
          <w:tr2bl w:val="nil"/>
        </w:tcBorders>
      </w:tcPr>
    </w:tblStylePr>
  </w:style>
  <w:style w:styleId="Listeclaire-Accent2" w:type="table">
    <w:name w:val="Light List Accent 2"/>
    <w:basedOn w:val="TableauNormal"/>
    <w:uiPriority w:val="61"/>
    <w:rsid w:val="00FC557F"/>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customStyle="1" w:styleId="Titre1Car" w:type="character">
    <w:name w:val="Titre 1 Car"/>
    <w:basedOn w:val="Policepardfaut"/>
    <w:link w:val="Titre1"/>
    <w:uiPriority w:val="9"/>
    <w:rsid w:val="00362E65"/>
    <w:rPr>
      <w:rFonts w:asciiTheme="majorHAnsi" w:cstheme="majorBidi" w:eastAsiaTheme="majorEastAsia" w:hAnsiTheme="majorHAnsi"/>
      <w:b/>
      <w:bCs/>
      <w:sz w:val="32"/>
      <w:szCs w:val="32"/>
    </w:rPr>
  </w:style>
  <w:style w:customStyle="1" w:styleId="Titre2Car" w:type="character">
    <w:name w:val="Titre 2 Car"/>
    <w:basedOn w:val="Policepardfaut"/>
    <w:link w:val="Titre2"/>
    <w:uiPriority w:val="9"/>
    <w:semiHidden/>
    <w:rsid w:val="00362E65"/>
    <w:rPr>
      <w:rFonts w:asciiTheme="majorHAnsi" w:cstheme="majorBidi" w:eastAsiaTheme="majorEastAsia" w:hAnsiTheme="majorHAnsi"/>
      <w:b/>
      <w:bCs/>
      <w:sz w:val="26"/>
      <w:szCs w:val="26"/>
    </w:rPr>
  </w:style>
  <w:style w:customStyle="1" w:styleId="Titre3Car" w:type="character">
    <w:name w:val="Titre 3 Car"/>
    <w:basedOn w:val="Policepardfaut"/>
    <w:link w:val="Titre3"/>
    <w:uiPriority w:val="9"/>
    <w:semiHidden/>
    <w:rsid w:val="00362E65"/>
    <w:rPr>
      <w:rFonts w:asciiTheme="majorHAnsi" w:cstheme="majorBidi" w:eastAsiaTheme="majorEastAsia" w:hAnsiTheme="majorHAnsi"/>
      <w:b/>
      <w:bCs/>
    </w:rPr>
  </w:style>
  <w:style w:customStyle="1" w:styleId="ImageCaption" w:type="paragraph">
    <w:name w:val="Image Caption"/>
    <w:basedOn w:val="Normal"/>
    <w:qFormat/>
    <w:rsid w:val="00AE18EF"/>
    <w:pPr>
      <w:jc w:val="center"/>
    </w:pPr>
    <w:rPr>
      <w:b/>
      <w:i/>
    </w:rPr>
  </w:style>
  <w:style w:customStyle="1" w:styleId="TableCaption" w:type="paragraph">
    <w:name w:val="Table Caption"/>
    <w:basedOn w:val="ImageCaption"/>
    <w:qFormat/>
    <w:rsid w:val="00AE18EF"/>
  </w:style>
  <w:style w:styleId="Tableauprofessionnel" w:type="table">
    <w:name w:val="Table Professional"/>
    <w:basedOn w:val="TableauNormal"/>
    <w:uiPriority w:val="99"/>
    <w:semiHidden/>
    <w:unhideWhenUsed/>
    <w:rsid w:val="00C31EEB"/>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shd w:color="000000" w:fill="FFFFFF" w:val="solid"/>
      </w:tcPr>
    </w:tblStylePr>
  </w:style>
  <w:style w:styleId="TM1" w:type="paragraph">
    <w:name w:val="toc 1"/>
    <w:basedOn w:val="Normal"/>
    <w:next w:val="Normal"/>
    <w:autoRedefine/>
    <w:uiPriority w:val="39"/>
    <w:unhideWhenUsed/>
    <w:rsid w:val="00FB63E7"/>
    <w:pPr>
      <w:spacing w:after="100"/>
    </w:pPr>
  </w:style>
  <w:style w:styleId="TM2" w:type="paragraph">
    <w:name w:val="toc 2"/>
    <w:basedOn w:val="Normal"/>
    <w:next w:val="Normal"/>
    <w:autoRedefine/>
    <w:uiPriority w:val="39"/>
    <w:unhideWhenUsed/>
    <w:rsid w:val="00FB63E7"/>
    <w:pPr>
      <w:spacing w:after="100"/>
      <w:ind w:left="240"/>
    </w:pPr>
  </w:style>
  <w:style w:styleId="Textedebulles" w:type="paragraph">
    <w:name w:val="Balloon Text"/>
    <w:basedOn w:val="Normal"/>
    <w:link w:val="TextedebullesCar"/>
    <w:uiPriority w:val="99"/>
    <w:semiHidden/>
    <w:unhideWhenUsed/>
    <w:rsid w:val="00FB63E7"/>
    <w:rPr>
      <w:rFonts w:ascii="Lucida Grande" w:hAnsi="Lucida Grande"/>
      <w:sz w:val="18"/>
      <w:szCs w:val="18"/>
    </w:rPr>
  </w:style>
  <w:style w:customStyle="1" w:styleId="TextedebullesCar" w:type="character">
    <w:name w:val="Texte de bulles Car"/>
    <w:basedOn w:val="Policepardfaut"/>
    <w:link w:val="Textedebulles"/>
    <w:uiPriority w:val="99"/>
    <w:semiHidden/>
    <w:rsid w:val="00FB63E7"/>
    <w:rPr>
      <w:rFonts w:ascii="Lucida Grande" w:hAnsi="Lucida Grande"/>
      <w:sz w:val="18"/>
      <w:szCs w:val="18"/>
    </w:rPr>
  </w:style>
  <w:style w:customStyle="1" w:styleId="referenceid" w:type="character">
    <w:name w:val="reference_id"/>
    <w:basedOn w:val="Policepardfaut"/>
    <w:uiPriority w:val="1"/>
    <w:rsid w:val="00457CF1"/>
    <w:rPr>
      <w:vertAlign w:val="superscript"/>
    </w:rPr>
  </w:style>
  <w:style w:customStyle="1" w:styleId="graphictitle" w:type="paragraph">
    <w:name w:val="graphic title"/>
    <w:basedOn w:val="ImageCaption"/>
    <w:next w:val="Normal"/>
    <w:rsid w:val="0035500D"/>
  </w:style>
  <w:style w:customStyle="1" w:styleId="tabletitle" w:type="paragraph">
    <w:name w:val="table title"/>
    <w:basedOn w:val="TableCaption"/>
    <w:next w:val="Normal"/>
    <w:rsid w:val="00901463"/>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26" Target="media/rId26.png" /><Relationship Type="http://schemas.openxmlformats.org/officeDocument/2006/relationships/image" Id="rId32" Target="media/rId32.png"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41" Target="media/rId41.png" /><Relationship Type="http://schemas.openxmlformats.org/officeDocument/2006/relationships/hyperlink" Id="rId54" Target="https://github.com/inyo-gov/lorp-pia-completion/blob/main/docs/11_fy2627_approved_workplan_reference.md" TargetMode="External" /><Relationship Type="http://schemas.openxmlformats.org/officeDocument/2006/relationships/hyperlink" Id="rId20" Target="https://inyowater.org/wp-content/uploads/2026/06/2026-2027-LORP-Work-Plan-and-Budget_draft_062226.pdf" TargetMode="External" /><Relationship Type="http://schemas.openxmlformats.org/officeDocument/2006/relationships/hyperlink" Id="rId22" Target="https://ipm.ucanr.edu/home-and-landscape/perennial-pepperweed/#gsc.tab=0" TargetMode="External" /><Relationship Type="http://schemas.openxmlformats.org/officeDocument/2006/relationships/hyperlink" Id="rId21" Target="https://services.arcgis.com/0jRlQ17Qmni5zEMr/arcgis/rest/services/Noxious_Weeds_2025_view/FeatureServer/0" TargetMode="External" /><Relationship Type="http://schemas.openxmlformats.org/officeDocument/2006/relationships/hyperlink" Id="rId55" Target="https://services.arcgis.com/0jRlQ17Qmni5zEMr/arcgis/rest/services/highwaterline_north/FeatureServer" TargetMode="External" /><Relationship Type="http://schemas.openxmlformats.org/officeDocument/2006/relationships/hyperlink" Id="rId56" Target="https://services.arcgis.com/0jRlQ17Qmni5zEMr/arcgis/rest/services/highwaterline_south/FeatureServer" TargetMode="External" /><Relationship Type="http://schemas.openxmlformats.org/officeDocument/2006/relationships/hyperlink" Id="rId57" Target="https://services.arcgis.com/0jRlQ17Qmni5zEMr/arcgis/rest/services/owens_river_feature/FeatureServer" TargetMode="External" /></Relationships>
</file>

<file path=word/_rels/footnotes.xml.rels><?xml version="1.0" encoding="UTF-8"?><Relationships xmlns="http://schemas.openxmlformats.org/package/2006/relationships"><Relationship Type="http://schemas.openxmlformats.org/officeDocument/2006/relationships/hyperlink" Id="rId54" Target="https://github.com/inyo-gov/lorp-pia-completion/blob/main/docs/11_fy2627_approved_workplan_reference.md" TargetMode="External" /><Relationship Type="http://schemas.openxmlformats.org/officeDocument/2006/relationships/hyperlink" Id="rId20" Target="https://inyowater.org/wp-content/uploads/2026/06/2026-2027-LORP-Work-Plan-and-Budget_draft_062226.pdf" TargetMode="External" /><Relationship Type="http://schemas.openxmlformats.org/officeDocument/2006/relationships/hyperlink" Id="rId22" Target="https://ipm.ucanr.edu/home-and-landscape/perennial-pepperweed/#gsc.tab=0" TargetMode="External" /><Relationship Type="http://schemas.openxmlformats.org/officeDocument/2006/relationships/hyperlink" Id="rId21" Target="https://services.arcgis.com/0jRlQ17Qmni5zEMr/arcgis/rest/services/Noxious_Weeds_2025_view/FeatureServer/0" TargetMode="External" /><Relationship Type="http://schemas.openxmlformats.org/officeDocument/2006/relationships/hyperlink" Id="rId55" Target="https://services.arcgis.com/0jRlQ17Qmni5zEMr/arcgis/rest/services/highwaterline_north/FeatureServer" TargetMode="External" /><Relationship Type="http://schemas.openxmlformats.org/officeDocument/2006/relationships/hyperlink" Id="rId56" Target="https://services.arcgis.com/0jRlQ17Qmni5zEMr/arcgis/rest/services/highwaterline_south/FeatureServer" TargetMode="External" /><Relationship Type="http://schemas.openxmlformats.org/officeDocument/2006/relationships/hyperlink" Id="rId57" Target="https://services.arcgis.com/0jRlQ17Qmni5zEMr/arcgis/rest/services/owens_river_feature/FeatureServer" TargetMode="Externa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Perennial Pepperweed Mapping</dc:title>
  <dc:creator/>
  <cp:keywords/>
  <dcterms:created xsi:type="dcterms:W3CDTF">2026-07-10T23:38:24Z</dcterms:created>
  <dcterms:modified xsi:type="dcterms:W3CDTF">2026-07-10T23:38:24Z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Inyo County Water Department</vt:lpwstr>
  </property>
  <property fmtid="{D5CDD505-2E9C-101B-9397-08002B2CF9AE}" pid="3" name="biblio-config">
    <vt:lpwstr>True</vt:lpwstr>
  </property>
  <property fmtid="{D5CDD505-2E9C-101B-9397-08002B2CF9AE}" pid="4" name="citation">
    <vt:lpwstr/>
  </property>
  <property fmtid="{D5CDD505-2E9C-101B-9397-08002B2CF9AE}" pid="5" name="date">
    <vt:lpwstr>2026-07-10</vt:lpwstr>
  </property>
  <property fmtid="{D5CDD505-2E9C-101B-9397-08002B2CF9AE}" pid="6" name="date-modified">
    <vt:lpwstr>2026-07-10</vt:lpwstr>
  </property>
  <property fmtid="{D5CDD505-2E9C-101B-9397-08002B2CF9AE}" pid="7" name="execute">
    <vt:lpwstr/>
  </property>
  <property fmtid="{D5CDD505-2E9C-101B-9397-08002B2CF9AE}" pid="8" name="google-scholar">
    <vt:lpwstr>True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params">
    <vt:lpwstr/>
  </property>
  <property fmtid="{D5CDD505-2E9C-101B-9397-08002B2CF9AE}" pid="14" name="subtitle">
    <vt:lpwstr>Noxious Weeds Monitoring — LORP FY 2026–27 (approved workplan PDF)</vt:lpwstr>
  </property>
  <property fmtid="{D5CDD505-2E9C-101B-9397-08002B2CF9AE}" pid="15" name="tbl-cap-location">
    <vt:lpwstr>top</vt:lpwstr>
  </property>
  <property fmtid="{D5CDD505-2E9C-101B-9397-08002B2CF9AE}" pid="16" name="toc-title">
    <vt:lpwstr>Table of contents</vt:lpwstr>
  </property>
</Properties>
</file>