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48"/>
          <w:szCs w:val="48"/>
        </w:rPr>
        <w:t xml:space="preserve">RAPPORT DE PROJET</w:t>
      </w:r>
    </w:p>
    <w:p>
      <w:pPr>
        <w:spacing w:before="200"/>
      </w:pPr>
    </w:p>
    <w:p>
      <w:pPr>
        <w:jc w:val="center"/>
      </w:pPr>
      <w:r>
        <w:rPr>
          <w:rFonts w:ascii="Arial" w:cs="Arial" w:eastAsia="Arial" w:hAnsi="Arial"/>
          <w:b/>
          <w:bCs/>
          <w:color w:val="2c7a4b"/>
          <w:sz w:val="30"/>
          <w:szCs w:val="30"/>
        </w:rPr>
        <w:t xml:space="preserve">Application GestUniv</w:t>
      </w:r>
    </w:p>
    <w:p>
      <w:pPr>
        <w:spacing w:before="100"/>
      </w:pPr>
    </w:p>
    <w:p>
      <w:pPr>
        <w:jc w:val="center"/>
      </w:pPr>
      <w:r>
        <w:rPr>
          <w:rFonts w:ascii="Arial" w:cs="Arial" w:eastAsia="Arial" w:hAnsi="Arial"/>
          <w:color w:val="555555"/>
          <w:sz w:val="24"/>
          <w:szCs w:val="24"/>
        </w:rPr>
        <w:t xml:space="preserve">Gestion des Heures des Enseignants du Supérieur</w:t>
      </w:r>
    </w:p>
    <w:p>
      <w:pPr>
        <w:spacing w:before="600"/>
      </w:pPr>
    </w:p>
    <w:p>
      <w:pPr>
        <w:jc w:val="center"/>
      </w:pPr>
      <w:r>
        <w:rPr>
          <w:rFonts w:ascii="Arial" w:cs="Arial" w:eastAsia="Arial" w:hAnsi="Arial"/>
          <w:color w:val="666666"/>
          <w:sz w:val="22"/>
          <w:szCs w:val="22"/>
        </w:rPr>
        <w:t xml:space="preserve">Mai 2026</w:t>
      </w:r>
    </w:p>
    <w:p>
      <w:r>
        <w:br w:type="page"/>
      </w:r>
    </w:p>
    <w:p>
      <w:pPr>
        <w:pStyle w:val="Heading1"/>
        <w:spacing w:after="200" w:before="400"/>
      </w:pPr>
      <w:r>
        <w:rPr>
          <w:rFonts w:ascii="Arial" w:cs="Arial" w:eastAsia="Arial" w:hAnsi="Arial"/>
          <w:b/>
          <w:bCs/>
          <w:color w:val="1e3a5f"/>
          <w:sz w:val="32"/>
          <w:szCs w:val="32"/>
        </w:rPr>
        <w:t xml:space="preserve">1. Contexte et Problématique</w:t>
      </w:r>
    </w:p>
    <w:p>
      <w:pPr>
        <w:spacing w:after="80" w:before="80"/>
      </w:pPr>
      <w:r>
        <w:rPr>
          <w:rFonts w:ascii="Arial" w:cs="Arial" w:eastAsia="Arial" w:hAnsi="Arial"/>
          <w:sz w:val="22"/>
          <w:szCs w:val="22"/>
        </w:rPr>
        <w:t xml:space="preserve">Les établissements d'enseignement supérieur font face à un défi majeur dans la gestion administrative des ressources humaines enseignantes. La gestion des heures effectuées par les enseignants est une tâche critique qui conditionne directement la rémunération du personnel et la conformité réglementaire des établissements.</w:t>
      </w:r>
    </w:p>
    <w:p>
      <w:pPr>
        <w:spacing w:after="80" w:before="80"/>
      </w:pPr>
      <w:r>
        <w:rPr>
          <w:rFonts w:ascii="Arial" w:cs="Arial" w:eastAsia="Arial" w:hAnsi="Arial"/>
          <w:sz w:val="22"/>
          <w:szCs w:val="22"/>
        </w:rPr>
        <w:t xml:space="preserve">Avant la mise en place de GestUniv, la plupart des établissements géraient ces processus via des feuilles de calcul Excel ou des registres manuels. Cette approche engendrait de nombreux problèmes : erreurs de calcul fréquentes, manque de traçabilité, retards dans les paiements, difficulté de suivi global et absence d'historique fiable sur plusieurs années académiques.</w:t>
      </w:r>
    </w:p>
    <w:p>
      <w:pPr>
        <w:spacing w:after="80" w:before="80"/>
      </w:pPr>
      <w:r>
        <w:rPr>
          <w:rFonts w:ascii="Arial" w:cs="Arial" w:eastAsia="Arial" w:hAnsi="Arial"/>
          <w:sz w:val="22"/>
          <w:szCs w:val="22"/>
        </w:rPr>
        <w:t xml:space="preserve">La multiplication des intervenants (enseignants permanents, vacataires, différents départements et filières) complexifiait davantage la gestion, rendant les contrôles croisés laborieux et sources d'erreurs.</w:t>
      </w:r>
    </w:p>
    <w:p>
      <w:pPr>
        <w:pStyle w:val="Heading1"/>
        <w:spacing w:after="200" w:before="400"/>
      </w:pPr>
      <w:r>
        <w:rPr>
          <w:rFonts w:ascii="Arial" w:cs="Arial" w:eastAsia="Arial" w:hAnsi="Arial"/>
          <w:b/>
          <w:bCs/>
          <w:color w:val="1e3a5f"/>
          <w:sz w:val="32"/>
          <w:szCs w:val="32"/>
        </w:rPr>
        <w:t xml:space="preserve">2. Objectifs du Projet</w:t>
      </w:r>
    </w:p>
    <w:p>
      <w:pPr>
        <w:pStyle w:val="Heading2"/>
        <w:spacing w:after="150" w:before="300"/>
      </w:pPr>
      <w:r>
        <w:rPr>
          <w:rFonts w:ascii="Arial" w:cs="Arial" w:eastAsia="Arial" w:hAnsi="Arial"/>
          <w:b/>
          <w:bCs/>
          <w:color w:val="1e3a5f"/>
          <w:sz w:val="26"/>
          <w:szCs w:val="26"/>
        </w:rPr>
        <w:t xml:space="preserve">2.1 Objectif Principal</w:t>
      </w:r>
    </w:p>
    <w:p>
      <w:pPr>
        <w:spacing w:after="80" w:before="80"/>
      </w:pPr>
      <w:r>
        <w:rPr>
          <w:rFonts w:ascii="Arial" w:cs="Arial" w:eastAsia="Arial" w:hAnsi="Arial"/>
          <w:sz w:val="22"/>
          <w:szCs w:val="22"/>
        </w:rPr>
        <w:t xml:space="preserve">Développer une application web full-stack permettant d'automatiser et de sécuriser la gestion des heures des enseignants du supérieur, depuis la planification jusqu'à la génération des états de paiement.</w:t>
      </w:r>
    </w:p>
    <w:p>
      <w:pPr>
        <w:pStyle w:val="Heading2"/>
        <w:spacing w:after="150" w:before="300"/>
      </w:pPr>
      <w:r>
        <w:rPr>
          <w:rFonts w:ascii="Arial" w:cs="Arial" w:eastAsia="Arial" w:hAnsi="Arial"/>
          <w:b/>
          <w:bCs/>
          <w:color w:val="1e3a5f"/>
          <w:sz w:val="26"/>
          <w:szCs w:val="26"/>
        </w:rPr>
        <w:t xml:space="preserve">2.2 Objectifs Spécifiques</w:t>
      </w:r>
    </w:p>
    <w:p>
      <w:pPr>
        <w:pStyle w:val="ListParagraph"/>
        <w:numPr>
          <w:ilvl w:val="0"/>
          <w:numId w:val="2"/>
        </w:numPr>
        <w:spacing w:after="60" w:before="60"/>
      </w:pPr>
      <w:r>
        <w:rPr>
          <w:rFonts w:ascii="Arial" w:cs="Arial" w:eastAsia="Arial" w:hAnsi="Arial"/>
          <w:sz w:val="22"/>
          <w:szCs w:val="22"/>
        </w:rPr>
        <w:t xml:space="preserve">Centraliser la gestion des enseignants, matières et heures effectuées dans une base de données relationnelle</w:t>
      </w:r>
    </w:p>
    <w:p>
      <w:pPr>
        <w:pStyle w:val="ListParagraph"/>
        <w:numPr>
          <w:ilvl w:val="0"/>
          <w:numId w:val="2"/>
        </w:numPr>
        <w:spacing w:after="60" w:before="60"/>
      </w:pPr>
      <w:r>
        <w:rPr>
          <w:rFonts w:ascii="Arial" w:cs="Arial" w:eastAsia="Arial" w:hAnsi="Arial"/>
          <w:sz w:val="22"/>
          <w:szCs w:val="22"/>
        </w:rPr>
        <w:t xml:space="preserve">Automatiser le calcul des heures équivalentes et des heures complémentaires</w:t>
      </w:r>
    </w:p>
    <w:p>
      <w:pPr>
        <w:pStyle w:val="ListParagraph"/>
        <w:numPr>
          <w:ilvl w:val="0"/>
          <w:numId w:val="2"/>
        </w:numPr>
        <w:spacing w:after="60" w:before="60"/>
      </w:pPr>
      <w:r>
        <w:rPr>
          <w:rFonts w:ascii="Arial" w:cs="Arial" w:eastAsia="Arial" w:hAnsi="Arial"/>
          <w:sz w:val="22"/>
          <w:szCs w:val="22"/>
        </w:rPr>
        <w:t xml:space="preserve">Implémenter un workflow de validation des heures par le service RH</w:t>
      </w:r>
    </w:p>
    <w:p>
      <w:pPr>
        <w:pStyle w:val="ListParagraph"/>
        <w:numPr>
          <w:ilvl w:val="0"/>
          <w:numId w:val="2"/>
        </w:numPr>
        <w:spacing w:after="60" w:before="60"/>
      </w:pPr>
      <w:r>
        <w:rPr>
          <w:rFonts w:ascii="Arial" w:cs="Arial" w:eastAsia="Arial" w:hAnsi="Arial"/>
          <w:sz w:val="22"/>
          <w:szCs w:val="22"/>
        </w:rPr>
        <w:t xml:space="preserve">Générer automatiquement les états de paiement en FCFA</w:t>
      </w:r>
    </w:p>
    <w:p>
      <w:pPr>
        <w:pStyle w:val="ListParagraph"/>
        <w:numPr>
          <w:ilvl w:val="0"/>
          <w:numId w:val="2"/>
        </w:numPr>
        <w:spacing w:after="60" w:before="60"/>
      </w:pPr>
      <w:r>
        <w:rPr>
          <w:rFonts w:ascii="Arial" w:cs="Arial" w:eastAsia="Arial" w:hAnsi="Arial"/>
          <w:sz w:val="22"/>
          <w:szCs w:val="22"/>
        </w:rPr>
        <w:t xml:space="preserve">Assurer la traçabilité complète des actions via un journal d'audit</w:t>
      </w:r>
    </w:p>
    <w:p>
      <w:pPr>
        <w:pStyle w:val="ListParagraph"/>
        <w:numPr>
          <w:ilvl w:val="0"/>
          <w:numId w:val="2"/>
        </w:numPr>
        <w:spacing w:after="60" w:before="60"/>
      </w:pPr>
      <w:r>
        <w:rPr>
          <w:rFonts w:ascii="Arial" w:cs="Arial" w:eastAsia="Arial" w:hAnsi="Arial"/>
          <w:sz w:val="22"/>
          <w:szCs w:val="22"/>
        </w:rPr>
        <w:t xml:space="preserve">Sécuriser les accès par rôle (administrateur, RH, enseignant)</w:t>
      </w:r>
    </w:p>
    <w:p>
      <w:pPr>
        <w:pStyle w:val="ListParagraph"/>
        <w:numPr>
          <w:ilvl w:val="0"/>
          <w:numId w:val="2"/>
        </w:numPr>
        <w:spacing w:after="60" w:before="60"/>
      </w:pPr>
      <w:r>
        <w:rPr>
          <w:rFonts w:ascii="Arial" w:cs="Arial" w:eastAsia="Arial" w:hAnsi="Arial"/>
          <w:sz w:val="22"/>
          <w:szCs w:val="22"/>
        </w:rPr>
        <w:t xml:space="preserve">Maintenir un historique multi-années académiques</w:t>
      </w:r>
    </w:p>
    <w:p>
      <w:pPr>
        <w:pStyle w:val="Heading1"/>
        <w:spacing w:after="200" w:before="400"/>
      </w:pPr>
      <w:r>
        <w:rPr>
          <w:rFonts w:ascii="Arial" w:cs="Arial" w:eastAsia="Arial" w:hAnsi="Arial"/>
          <w:b/>
          <w:bCs/>
          <w:color w:val="1e3a5f"/>
          <w:sz w:val="32"/>
          <w:szCs w:val="32"/>
        </w:rPr>
        <w:t xml:space="preserve">3. Méthodologie</w:t>
      </w:r>
    </w:p>
    <w:p>
      <w:pPr>
        <w:pStyle w:val="Heading2"/>
        <w:spacing w:after="150" w:before="300"/>
      </w:pPr>
      <w:r>
        <w:rPr>
          <w:rFonts w:ascii="Arial" w:cs="Arial" w:eastAsia="Arial" w:hAnsi="Arial"/>
          <w:b/>
          <w:bCs/>
          <w:color w:val="1e3a5f"/>
          <w:sz w:val="26"/>
          <w:szCs w:val="26"/>
        </w:rPr>
        <w:t xml:space="preserve">3.1 Approche de Développement</w:t>
      </w:r>
    </w:p>
    <w:p>
      <w:pPr>
        <w:spacing w:after="80" w:before="80"/>
      </w:pPr>
      <w:r>
        <w:rPr>
          <w:rFonts w:ascii="Arial" w:cs="Arial" w:eastAsia="Arial" w:hAnsi="Arial"/>
          <w:sz w:val="22"/>
          <w:szCs w:val="22"/>
        </w:rPr>
        <w:t xml:space="preserve">Le projet a été développé selon une approche itérative et incrémentale. Nous avons commencé par définir le schéma de base de données, puis développé l'API backend, et enfin construit l'interface utilisateur React par modules fonctionnels.</w:t>
      </w:r>
    </w:p>
    <w:p>
      <w:pPr>
        <w:pStyle w:val="Heading2"/>
        <w:spacing w:after="150" w:before="300"/>
      </w:pPr>
      <w:r>
        <w:rPr>
          <w:rFonts w:ascii="Arial" w:cs="Arial" w:eastAsia="Arial" w:hAnsi="Arial"/>
          <w:b/>
          <w:bCs/>
          <w:color w:val="1e3a5f"/>
          <w:sz w:val="26"/>
          <w:szCs w:val="26"/>
        </w:rPr>
        <w:t xml:space="preserve">3.2 Phases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Intitulé</w:t>
            </w:r>
          </w:p>
        </w:tc>
        <w:tc>
          <w:tcPr>
            <w:tcW w:type="dxa" w:w="6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et conception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du cahier des charges, modélisation de la base de données (9 tables, 2 vues), définition de l'architecture</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Développement Backend</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Mise en place de l'API REST avec Node.js/Express, authentification JWT, middleware de logging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Développement Frontend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Création des interfaces React avec gestion des rôles, pages Dashboard, Enseignants, Heures, Paiement</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Tests et corrections</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Tests fonctionnels, correction des bugs, validation du workflow complet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Rédaction de la documentation technique, du guide utilisateur et du rapport</w:t>
            </w:r>
          </w:p>
        </w:tc>
      </w:tr>
    </w:tbl>
    <w:p>
      <w:pPr>
        <w:pStyle w:val="Heading1"/>
        <w:spacing w:after="200" w:before="400"/>
      </w:pPr>
      <w:r>
        <w:rPr>
          <w:rFonts w:ascii="Arial" w:cs="Arial" w:eastAsia="Arial" w:hAnsi="Arial"/>
          <w:b/>
          <w:bCs/>
          <w:color w:val="1e3a5f"/>
          <w:sz w:val="32"/>
          <w:szCs w:val="32"/>
        </w:rPr>
        <w:t xml:space="preserve">4. Réalisation Technique</w:t>
      </w:r>
    </w:p>
    <w:p>
      <w:pPr>
        <w:pStyle w:val="Heading2"/>
        <w:spacing w:after="150" w:before="300"/>
      </w:pPr>
      <w:r>
        <w:rPr>
          <w:rFonts w:ascii="Arial" w:cs="Arial" w:eastAsia="Arial" w:hAnsi="Arial"/>
          <w:b/>
          <w:bCs/>
          <w:color w:val="1e3a5f"/>
          <w:sz w:val="26"/>
          <w:szCs w:val="26"/>
        </w:rPr>
        <w:t xml:space="preserve">4.1 Architecture Choisie</w:t>
      </w:r>
    </w:p>
    <w:p>
      <w:pPr>
        <w:spacing w:after="80" w:before="80"/>
      </w:pPr>
      <w:r>
        <w:rPr>
          <w:rFonts w:ascii="Arial" w:cs="Arial" w:eastAsia="Arial" w:hAnsi="Arial"/>
          <w:sz w:val="22"/>
          <w:szCs w:val="22"/>
        </w:rPr>
        <w:t xml:space="preserve">L'application suit une architecture RESTful avec séparation claire entre frontend et backend. Cette approche facilite la maintenance, permet une évolution indépendante des couches et offre la possibilité d'intégrer d'autres clients (mobile, etc.) à l'avenir.</w:t>
      </w:r>
    </w:p>
    <w:p>
      <w:pPr>
        <w:pStyle w:val="Heading2"/>
        <w:spacing w:after="150" w:before="300"/>
      </w:pPr>
      <w:r>
        <w:rPr>
          <w:rFonts w:ascii="Arial" w:cs="Arial" w:eastAsia="Arial" w:hAnsi="Arial"/>
          <w:b/>
          <w:bCs/>
          <w:color w:val="1e3a5f"/>
          <w:sz w:val="26"/>
          <w:szCs w:val="26"/>
        </w:rPr>
        <w:t xml:space="preserve">4.2 Fonctionnalités Implémentées</w:t>
      </w:r>
    </w:p>
    <w:p>
      <w:pPr>
        <w:pStyle w:val="ListParagraph"/>
        <w:numPr>
          <w:ilvl w:val="0"/>
          <w:numId w:val="2"/>
        </w:numPr>
        <w:spacing w:after="60" w:before="60"/>
      </w:pPr>
      <w:r>
        <w:rPr>
          <w:rFonts w:ascii="Arial" w:cs="Arial" w:eastAsia="Arial" w:hAnsi="Arial"/>
          <w:sz w:val="22"/>
          <w:szCs w:val="22"/>
        </w:rPr>
        <w:t xml:space="preserve">Authentification sécurisée avec JWT et hachage bcrypt des mots de passe</w:t>
      </w:r>
    </w:p>
    <w:p>
      <w:pPr>
        <w:pStyle w:val="ListParagraph"/>
        <w:numPr>
          <w:ilvl w:val="0"/>
          <w:numId w:val="2"/>
        </w:numPr>
        <w:spacing w:after="60" w:before="60"/>
      </w:pPr>
      <w:r>
        <w:rPr>
          <w:rFonts w:ascii="Arial" w:cs="Arial" w:eastAsia="Arial" w:hAnsi="Arial"/>
          <w:sz w:val="22"/>
          <w:szCs w:val="22"/>
        </w:rPr>
        <w:t xml:space="preserve">Gestion CRUD complète des enseignants, matières et attributions</w:t>
      </w:r>
    </w:p>
    <w:p>
      <w:pPr>
        <w:pStyle w:val="ListParagraph"/>
        <w:numPr>
          <w:ilvl w:val="0"/>
          <w:numId w:val="2"/>
        </w:numPr>
        <w:spacing w:after="60" w:before="60"/>
      </w:pPr>
      <w:r>
        <w:rPr>
          <w:rFonts w:ascii="Arial" w:cs="Arial" w:eastAsia="Arial" w:hAnsi="Arial"/>
          <w:sz w:val="22"/>
          <w:szCs w:val="22"/>
        </w:rPr>
        <w:t xml:space="preserve">Saisie des heures effectuées avec statut de validation (en attente, validée, rejetée)</w:t>
      </w:r>
    </w:p>
    <w:p>
      <w:pPr>
        <w:pStyle w:val="ListParagraph"/>
        <w:numPr>
          <w:ilvl w:val="0"/>
          <w:numId w:val="2"/>
        </w:numPr>
        <w:spacing w:after="60" w:before="60"/>
      </w:pPr>
      <w:r>
        <w:rPr>
          <w:rFonts w:ascii="Arial" w:cs="Arial" w:eastAsia="Arial" w:hAnsi="Arial"/>
          <w:sz w:val="22"/>
          <w:szCs w:val="22"/>
        </w:rPr>
        <w:t xml:space="preserve">Calcul automatique des équivalences horaires et heures complémentaires</w:t>
      </w:r>
    </w:p>
    <w:p>
      <w:pPr>
        <w:pStyle w:val="ListParagraph"/>
        <w:numPr>
          <w:ilvl w:val="0"/>
          <w:numId w:val="2"/>
        </w:numPr>
        <w:spacing w:after="60" w:before="60"/>
      </w:pPr>
      <w:r>
        <w:rPr>
          <w:rFonts w:ascii="Arial" w:cs="Arial" w:eastAsia="Arial" w:hAnsi="Arial"/>
          <w:sz w:val="22"/>
          <w:szCs w:val="22"/>
        </w:rPr>
        <w:t xml:space="preserve">Tableau de bord avec statistiques par département et par année</w:t>
      </w:r>
    </w:p>
    <w:p>
      <w:pPr>
        <w:pStyle w:val="ListParagraph"/>
        <w:numPr>
          <w:ilvl w:val="0"/>
          <w:numId w:val="2"/>
        </w:numPr>
        <w:spacing w:after="60" w:before="60"/>
      </w:pPr>
      <w:r>
        <w:rPr>
          <w:rFonts w:ascii="Arial" w:cs="Arial" w:eastAsia="Arial" w:hAnsi="Arial"/>
          <w:sz w:val="22"/>
          <w:szCs w:val="22"/>
        </w:rPr>
        <w:t xml:space="preserve">États de paiement détaillés en FCFA avec distinction heures normales/complémentaires</w:t>
      </w:r>
    </w:p>
    <w:p>
      <w:pPr>
        <w:pStyle w:val="ListParagraph"/>
        <w:numPr>
          <w:ilvl w:val="0"/>
          <w:numId w:val="2"/>
        </w:numPr>
        <w:spacing w:after="60" w:before="60"/>
      </w:pPr>
      <w:r>
        <w:rPr>
          <w:rFonts w:ascii="Arial" w:cs="Arial" w:eastAsia="Arial" w:hAnsi="Arial"/>
          <w:sz w:val="22"/>
          <w:szCs w:val="22"/>
        </w:rPr>
        <w:t xml:space="preserve">Espace personnel enseignant avec ses propres statistiques</w:t>
      </w:r>
    </w:p>
    <w:p>
      <w:pPr>
        <w:pStyle w:val="ListParagraph"/>
        <w:numPr>
          <w:ilvl w:val="0"/>
          <w:numId w:val="2"/>
        </w:numPr>
        <w:spacing w:after="60" w:before="60"/>
      </w:pPr>
      <w:r>
        <w:rPr>
          <w:rFonts w:ascii="Arial" w:cs="Arial" w:eastAsia="Arial" w:hAnsi="Arial"/>
          <w:sz w:val="22"/>
          <w:szCs w:val="22"/>
        </w:rPr>
        <w:t xml:space="preserve">Journal d'audit complet (logs_actions) pour la traçabilité</w:t>
      </w:r>
    </w:p>
    <w:p>
      <w:pPr>
        <w:pStyle w:val="ListParagraph"/>
        <w:numPr>
          <w:ilvl w:val="0"/>
          <w:numId w:val="2"/>
        </w:numPr>
        <w:spacing w:after="60" w:before="60"/>
      </w:pPr>
      <w:r>
        <w:rPr>
          <w:rFonts w:ascii="Arial" w:cs="Arial" w:eastAsia="Arial" w:hAnsi="Arial"/>
          <w:sz w:val="22"/>
          <w:szCs w:val="22"/>
        </w:rPr>
        <w:t xml:space="preserve">Gestion multi-années académiques avec conservation de l'historique</w:t>
      </w:r>
    </w:p>
    <w:p>
      <w:pPr>
        <w:pStyle w:val="ListParagraph"/>
        <w:numPr>
          <w:ilvl w:val="0"/>
          <w:numId w:val="2"/>
        </w:numPr>
        <w:spacing w:after="60" w:before="60"/>
      </w:pPr>
      <w:r>
        <w:rPr>
          <w:rFonts w:ascii="Arial" w:cs="Arial" w:eastAsia="Arial" w:hAnsi="Arial"/>
          <w:sz w:val="22"/>
          <w:szCs w:val="22"/>
        </w:rPr>
        <w:t xml:space="preserve">Interface responsive adaptée aux différents rôles utilisateurs</w:t>
      </w:r>
    </w:p>
    <w:p>
      <w:pPr>
        <w:pStyle w:val="Heading2"/>
        <w:spacing w:after="150" w:before="300"/>
      </w:pPr>
      <w:r>
        <w:rPr>
          <w:rFonts w:ascii="Arial" w:cs="Arial" w:eastAsia="Arial" w:hAnsi="Arial"/>
          <w:b/>
          <w:bCs/>
          <w:color w:val="1e3a5f"/>
          <w:sz w:val="26"/>
          <w:szCs w:val="26"/>
        </w:rPr>
        <w:t xml:space="preserve">4.3 Points Techniques Remarquables</w:t>
      </w:r>
    </w:p>
    <w:p>
      <w:pPr>
        <w:spacing w:after="80" w:before="80"/>
      </w:pPr>
      <w:r>
        <w:rPr>
          <w:rFonts w:ascii="Arial" w:cs="Arial" w:eastAsia="Arial" w:hAnsi="Arial"/>
          <w:sz w:val="22"/>
          <w:szCs w:val="22"/>
        </w:rPr>
        <w:t xml:space="preserve">La gestion des équivalences horaires est assurée par une vue SQL (vue_heures_enseignant) qui calcule dynamiquement les heures équivalentes selon les coefficients paramétrables. Cette approche déporte le calcul côté base de données, garantissant cohérence et performance.</w:t>
      </w:r>
    </w:p>
    <w:p>
      <w:pPr>
        <w:spacing w:after="80" w:before="80"/>
      </w:pPr>
      <w:r>
        <w:rPr>
          <w:rFonts w:ascii="Arial" w:cs="Arial" w:eastAsia="Arial" w:hAnsi="Arial"/>
          <w:sz w:val="22"/>
          <w:szCs w:val="22"/>
        </w:rPr>
        <w:t xml:space="preserve">Le système de validation des heures implémente un workflow à trois états (en_attente, validee, rejetee) qui assure que seules les heures validées par le RH sont comptabilisées dans les calculs et les états de paiement.</w:t>
      </w:r>
    </w:p>
    <w:p>
      <w:pPr>
        <w:pStyle w:val="Heading1"/>
        <w:spacing w:after="200" w:before="400"/>
      </w:pPr>
      <w:r>
        <w:rPr>
          <w:rFonts w:ascii="Arial" w:cs="Arial" w:eastAsia="Arial" w:hAnsi="Arial"/>
          <w:b/>
          <w:bCs/>
          <w:color w:val="1e3a5f"/>
          <w:sz w:val="32"/>
          <w:szCs w:val="32"/>
        </w:rPr>
        <w:t xml:space="preserve">5. Résultats Obtenus</w:t>
      </w:r>
    </w:p>
    <w:p>
      <w:pPr>
        <w:pStyle w:val="Heading2"/>
        <w:spacing w:after="150" w:before="300"/>
      </w:pPr>
      <w:r>
        <w:rPr>
          <w:rFonts w:ascii="Arial" w:cs="Arial" w:eastAsia="Arial" w:hAnsi="Arial"/>
          <w:b/>
          <w:bCs/>
          <w:color w:val="1e3a5f"/>
          <w:sz w:val="26"/>
          <w:szCs w:val="26"/>
        </w:rPr>
        <w:t xml:space="preserve">5.1 Application Fonctionnelle</w:t>
      </w:r>
    </w:p>
    <w:p>
      <w:pPr>
        <w:spacing w:after="80" w:before="80"/>
      </w:pPr>
      <w:r>
        <w:rPr>
          <w:rFonts w:ascii="Arial" w:cs="Arial" w:eastAsia="Arial" w:hAnsi="Arial"/>
          <w:sz w:val="22"/>
          <w:szCs w:val="22"/>
        </w:rPr>
        <w:t xml:space="preserve">L'application GestUniv est pleinement fonctionnelle et répond à l'ensemble des exigences du cahier des charges. Elle permet aux trois types d'utilisateurs d'accomplir leurs tâches respectives de manière fluide et sécurisée.</w:t>
      </w:r>
    </w:p>
    <w:p>
      <w:pPr>
        <w:pStyle w:val="Heading2"/>
        <w:spacing w:after="150" w:before="300"/>
      </w:pPr>
      <w:r>
        <w:rPr>
          <w:rFonts w:ascii="Arial" w:cs="Arial" w:eastAsia="Arial" w:hAnsi="Arial"/>
          <w:b/>
          <w:bCs/>
          <w:color w:val="1e3a5f"/>
          <w:sz w:val="26"/>
          <w:szCs w:val="26"/>
        </w:rPr>
        <w:t xml:space="preserve">5.2 Gains par Rapport à l'Existant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Avant (Excel)</w:t>
            </w:r>
          </w:p>
        </w:tc>
        <w:tc>
          <w:tcPr>
            <w:tcW w:type="dxa" w:w="3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Après (GestUniv)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 des heures comp.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Manuel, source d'erreurs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Automatique et instantané</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Traçabilité</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Inexistante</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Journal complet horodaté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des heures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Inexistante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RH intégré</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Accès multi-utilisateurs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Fichier partagé risqué</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Accès sécurisé par 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Fichiers dispersés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 centralisée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États de paiement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Calculs manuels</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Générés automatiquement</w:t>
            </w:r>
          </w:p>
        </w:tc>
      </w:tr>
    </w:tbl>
    <w:p>
      <w:pPr>
        <w:pStyle w:val="Heading1"/>
        <w:spacing w:after="200" w:before="400"/>
      </w:pPr>
      <w:r>
        <w:rPr>
          <w:rFonts w:ascii="Arial" w:cs="Arial" w:eastAsia="Arial" w:hAnsi="Arial"/>
          <w:b/>
          <w:bCs/>
          <w:color w:val="1e3a5f"/>
          <w:sz w:val="32"/>
          <w:szCs w:val="32"/>
        </w:rPr>
        <w:t xml:space="preserve">6. Difficultés Rencontrées et Solutions</w:t>
      </w:r>
    </w:p>
    <w:p>
      <w:pPr>
        <w:pStyle w:val="ListParagraph"/>
        <w:numPr>
          <w:ilvl w:val="0"/>
          <w:numId w:val="2"/>
        </w:numPr>
        <w:spacing w:after="60" w:before="60"/>
      </w:pPr>
      <w:r>
        <w:rPr>
          <w:rFonts w:ascii="Arial" w:cs="Arial" w:eastAsia="Arial" w:hAnsi="Arial"/>
          <w:sz w:val="22"/>
          <w:szCs w:val="22"/>
        </w:rPr>
        <w:t xml:space="preserve">Configuration de l'environnement Windows avec PowerShell : adaptation des commandes pour la compatibilité (mkdir séparé, New-Item pour les fichiers)</w:t>
      </w:r>
    </w:p>
    <w:p>
      <w:pPr>
        <w:pStyle w:val="ListParagraph"/>
        <w:numPr>
          <w:ilvl w:val="0"/>
          <w:numId w:val="2"/>
        </w:numPr>
        <w:spacing w:after="60" w:before="60"/>
      </w:pPr>
      <w:r>
        <w:rPr>
          <w:rFonts w:ascii="Arial" w:cs="Arial" w:eastAsia="Arial" w:hAnsi="Arial"/>
          <w:sz w:val="22"/>
          <w:szCs w:val="22"/>
        </w:rPr>
        <w:t xml:space="preserve">Gestion des chemins avec espaces sous Windows : utilisation de chemins courts et navigation étape par étape</w:t>
      </w:r>
    </w:p>
    <w:p>
      <w:pPr>
        <w:pStyle w:val="ListParagraph"/>
        <w:numPr>
          <w:ilvl w:val="0"/>
          <w:numId w:val="2"/>
        </w:numPr>
        <w:spacing w:after="60" w:before="60"/>
      </w:pPr>
      <w:r>
        <w:rPr>
          <w:rFonts w:ascii="Arial" w:cs="Arial" w:eastAsia="Arial" w:hAnsi="Arial"/>
          <w:sz w:val="22"/>
          <w:szCs w:val="22"/>
        </w:rPr>
        <w:t xml:space="preserve">Connexion MySQL avec XAMPP : vérification du mot de passe vide par défaut et configuration du fichier .env</w:t>
      </w:r>
    </w:p>
    <w:p>
      <w:pPr>
        <w:pStyle w:val="ListParagraph"/>
        <w:numPr>
          <w:ilvl w:val="0"/>
          <w:numId w:val="2"/>
        </w:numPr>
        <w:spacing w:after="60" w:before="60"/>
      </w:pPr>
      <w:r>
        <w:rPr>
          <w:rFonts w:ascii="Arial" w:cs="Arial" w:eastAsia="Arial" w:hAnsi="Arial"/>
          <w:sz w:val="22"/>
          <w:szCs w:val="22"/>
        </w:rPr>
        <w:t xml:space="preserve">Chargement des variables d'environnement JWT : correction du chemin dotenv et ajout de valeurs de fallback</w:t>
      </w:r>
    </w:p>
    <w:p>
      <w:pPr>
        <w:pStyle w:val="Heading1"/>
        <w:spacing w:after="200" w:before="400"/>
      </w:pPr>
      <w:r>
        <w:rPr>
          <w:rFonts w:ascii="Arial" w:cs="Arial" w:eastAsia="Arial" w:hAnsi="Arial"/>
          <w:b/>
          <w:bCs/>
          <w:color w:val="1e3a5f"/>
          <w:sz w:val="32"/>
          <w:szCs w:val="32"/>
        </w:rPr>
        <w:t xml:space="preserve">7. Perspectives d'Évolution</w:t>
      </w:r>
    </w:p>
    <w:p>
      <w:pPr>
        <w:pStyle w:val="ListParagraph"/>
        <w:numPr>
          <w:ilvl w:val="0"/>
          <w:numId w:val="2"/>
        </w:numPr>
        <w:spacing w:after="60" w:before="60"/>
      </w:pPr>
      <w:r>
        <w:rPr>
          <w:rFonts w:ascii="Arial" w:cs="Arial" w:eastAsia="Arial" w:hAnsi="Arial"/>
          <w:sz w:val="22"/>
          <w:szCs w:val="22"/>
        </w:rPr>
        <w:t xml:space="preserve">Export PDF et Excel des fiches individuelles et états de paiement</w:t>
      </w:r>
    </w:p>
    <w:p>
      <w:pPr>
        <w:pStyle w:val="ListParagraph"/>
        <w:numPr>
          <w:ilvl w:val="0"/>
          <w:numId w:val="2"/>
        </w:numPr>
        <w:spacing w:after="60" w:before="60"/>
      </w:pPr>
      <w:r>
        <w:rPr>
          <w:rFonts w:ascii="Arial" w:cs="Arial" w:eastAsia="Arial" w:hAnsi="Arial"/>
          <w:sz w:val="22"/>
          <w:szCs w:val="22"/>
        </w:rPr>
        <w:t xml:space="preserve">Notifications par email lors de la validation ou du rejet d'heures</w:t>
      </w:r>
    </w:p>
    <w:p>
      <w:pPr>
        <w:pStyle w:val="ListParagraph"/>
        <w:numPr>
          <w:ilvl w:val="0"/>
          <w:numId w:val="2"/>
        </w:numPr>
        <w:spacing w:after="60" w:before="60"/>
      </w:pPr>
      <w:r>
        <w:rPr>
          <w:rFonts w:ascii="Arial" w:cs="Arial" w:eastAsia="Arial" w:hAnsi="Arial"/>
          <w:sz w:val="22"/>
          <w:szCs w:val="22"/>
        </w:rPr>
        <w:t xml:space="preserve">Module de planification avec calendrier visuel des cours</w:t>
      </w:r>
    </w:p>
    <w:p>
      <w:pPr>
        <w:pStyle w:val="ListParagraph"/>
        <w:numPr>
          <w:ilvl w:val="0"/>
          <w:numId w:val="2"/>
        </w:numPr>
        <w:spacing w:after="60" w:before="60"/>
      </w:pPr>
      <w:r>
        <w:rPr>
          <w:rFonts w:ascii="Arial" w:cs="Arial" w:eastAsia="Arial" w:hAnsi="Arial"/>
          <w:sz w:val="22"/>
          <w:szCs w:val="22"/>
        </w:rPr>
        <w:t xml:space="preserve">Tableau de bord avec graphiques interactifs (Recharts intégré)</w:t>
      </w:r>
    </w:p>
    <w:p>
      <w:pPr>
        <w:pStyle w:val="ListParagraph"/>
        <w:numPr>
          <w:ilvl w:val="0"/>
          <w:numId w:val="2"/>
        </w:numPr>
        <w:spacing w:after="60" w:before="60"/>
      </w:pPr>
      <w:r>
        <w:rPr>
          <w:rFonts w:ascii="Arial" w:cs="Arial" w:eastAsia="Arial" w:hAnsi="Arial"/>
          <w:sz w:val="22"/>
          <w:szCs w:val="22"/>
        </w:rPr>
        <w:t xml:space="preserve">Application mobile React Native pour la saisie terrain</w:t>
      </w:r>
    </w:p>
    <w:p>
      <w:pPr>
        <w:pStyle w:val="ListParagraph"/>
        <w:numPr>
          <w:ilvl w:val="0"/>
          <w:numId w:val="2"/>
        </w:numPr>
        <w:spacing w:after="60" w:before="60"/>
      </w:pPr>
      <w:r>
        <w:rPr>
          <w:rFonts w:ascii="Arial" w:cs="Arial" w:eastAsia="Arial" w:hAnsi="Arial"/>
          <w:sz w:val="22"/>
          <w:szCs w:val="22"/>
        </w:rPr>
        <w:t xml:space="preserve">Système de backup automatique de la base de données</w:t>
      </w:r>
    </w:p>
    <w:p>
      <w:pPr>
        <w:pStyle w:val="Heading1"/>
        <w:spacing w:after="200" w:before="400"/>
      </w:pPr>
      <w:r>
        <w:rPr>
          <w:rFonts w:ascii="Arial" w:cs="Arial" w:eastAsia="Arial" w:hAnsi="Arial"/>
          <w:b/>
          <w:bCs/>
          <w:color w:val="1e3a5f"/>
          <w:sz w:val="32"/>
          <w:szCs w:val="32"/>
        </w:rPr>
        <w:t xml:space="preserve">8. Conclusion</w:t>
      </w:r>
    </w:p>
    <w:p>
      <w:pPr>
        <w:spacing w:after="80" w:before="80"/>
      </w:pPr>
      <w:r>
        <w:rPr>
          <w:rFonts w:ascii="Arial" w:cs="Arial" w:eastAsia="Arial" w:hAnsi="Arial"/>
          <w:sz w:val="22"/>
          <w:szCs w:val="22"/>
        </w:rPr>
        <w:t xml:space="preserve">Le projet GestUniv a abouti à une application web complète, fonctionnelle et sécurisée répondant intégralement aux exigences du cahier des charges. L'utilisation d'une stack JavaScript homogène (React + Node.js + MySQL) a permis un développement cohérent et maintenable.</w:t>
      </w:r>
    </w:p>
    <w:p>
      <w:pPr>
        <w:spacing w:after="80" w:before="80"/>
      </w:pPr>
      <w:r>
        <w:rPr>
          <w:rFonts w:ascii="Arial" w:cs="Arial" w:eastAsia="Arial" w:hAnsi="Arial"/>
          <w:sz w:val="22"/>
          <w:szCs w:val="22"/>
        </w:rPr>
        <w:t xml:space="preserve">La solution apporte une valeur ajoutée significative par rapport aux outils existants en automatisant les calculs complexes, en sécurisant les accès, et en garantissant la traçabilité complète des opérations. Elle constitue une base solide sur laquelle des fonctionnalités supplémentaires pourront être développées selon les besoins évolutifs de l'établissement.</w:t>
      </w:r>
    </w:p>
    <w:p>
      <w:pPr>
        <w:spacing w:after="80" w:before="80"/>
      </w:pPr>
      <w:r>
        <w:rPr>
          <w:rFonts w:ascii="Arial" w:cs="Arial" w:eastAsia="Arial" w:hAnsi="Arial"/>
          <w:sz w:val="22"/>
          <w:szCs w:val="22"/>
        </w:rPr>
        <w:t xml:space="preserve">Ce projet a permis de mettre en pratique les compétences en développement web full-stack JavaScript, en conception de bases de données relationnelles, en architecture d'API REST, et en développement d'interfaces utilisateur React avec gestion des rôles et de l'authentification.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2026-05-04T02:22:23.057Z</dcterms:created>
  <dcterms:modified xsi:type="dcterms:W3CDTF">2026-05-04T02:22:23.057Z</dcterms:modified>
</cp:coreProperties>
</file>

<file path=docProps/custom.xml><?xml version="1.0" encoding="utf-8"?>
<Properties xmlns="http://schemas.openxmlformats.org/officeDocument/2006/custom-properties" xmlns:vt="http://schemas.openxmlformats.org/officeDocument/2006/docPropsVTypes"/>
</file>