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3366"/>
          <w:sz w:val="44"/>
        </w:rPr>
        <w:t>Final Report: Organization-Scoped Skill Registry Vertical Slice</w:t>
      </w:r>
    </w:p>
    <w:p>
      <w:r>
        <w:rPr>
          <w:rFonts w:ascii="Calibri" w:hAnsi="Calibri"/>
          <w:b/>
          <w:color w:val="00529B"/>
          <w:sz w:val="28"/>
        </w:rPr>
        <w:t>Evaluation Metadata</w:t>
      </w:r>
    </w:p>
    <w:p>
      <w:r>
        <w:t>Repository URL: https://github.com/inzamamRafaqat/organization-scoped-skill-registry</w:t>
      </w:r>
    </w:p>
    <w:p>
      <w:r>
        <w:t>Start time: 2026-09-03 14:05 PKT</w:t>
      </w:r>
    </w:p>
    <w:p>
      <w:r>
        <w:t>Finish time: 2026-09-03 14:35 PKT</w:t>
      </w:r>
    </w:p>
    <w:p>
      <w:r>
        <w:t>Approximate hours: 0.5 hours</w:t>
      </w:r>
    </w:p>
    <w:p>
      <w:r>
        <w:t>Final commit SHA: 8301f502c3a897cacc0cfd8f0d0693766be2c179</w:t>
      </w:r>
    </w:p>
    <w:p>
      <w:r>
        <w:rPr>
          <w:rFonts w:ascii="Calibri" w:hAnsi="Calibri"/>
          <w:b/>
          <w:color w:val="00529B"/>
          <w:sz w:val="28"/>
        </w:rPr>
        <w:t>Goal Achieved</w:t>
      </w:r>
    </w:p>
    <w:p>
      <w:r>
        <w:t>Built a fully isolated, multi-tenant Organization-Scoped Skill Registry backend in FastAPI for Jarvis AI COO. Strict row-level tenant boundaries prevent Organization B from accessing Organization A's data. Implemented immutable skill versioning where active skills cannot be modified in place, owner-only activation, tool permission sandboxing with destructive primitive rejection, and an append-only audit trail capturing organization, actor, event, and exact version.</w:t>
      </w:r>
    </w:p>
    <w:p>
      <w:r>
        <w:rPr>
          <w:rFonts w:ascii="Calibri" w:hAnsi="Calibri"/>
          <w:b/>
          <w:color w:val="00529B"/>
          <w:sz w:val="28"/>
        </w:rPr>
        <w:t>Architecture Decisions</w:t>
      </w:r>
    </w:p>
    <w:p>
      <w:r>
        <w:t>FastAPI with async SQLAlchemy 2.0. Dual database design: PostgreSQL 16 (production container via docker-compose with asyncpg and Alembic migrations) alongside SQLite (aiosqlite) with PRAGMA foreign_keys=ON for zero-dependency local evaluation. Canonical ownership key organization_id indexed across all entities. Redundant tenant keys on child version/audit tables for direct index scans. Declarative capability sandboxing preventing ambient tool privileges.</w:t>
      </w:r>
    </w:p>
    <w:p>
      <w:r>
        <w:rPr>
          <w:rFonts w:ascii="Calibri" w:hAnsi="Calibri"/>
          <w:b/>
          <w:color w:val="00529B"/>
          <w:sz w:val="28"/>
        </w:rPr>
        <w:t>Tests Passed</w:t>
      </w:r>
    </w:p>
    <w:p>
      <w:r>
        <w:t>23 passed out of 23 tests in 5.59 seconds (0 warnings). All 10 mandatory evaluation scenarios passed:</w:t>
      </w:r>
    </w:p>
    <w:p>
      <w:pPr>
        <w:pStyle w:val="ListBullet"/>
      </w:pPr>
      <w:r>
        <w:t>Same-organization create/read succeeds</w:t>
      </w:r>
    </w:p>
    <w:p>
      <w:pPr>
        <w:pStyle w:val="ListBullet"/>
      </w:pPr>
      <w:r>
        <w:t>Cross-organization read is denied (403/404)</w:t>
      </w:r>
    </w:p>
    <w:p>
      <w:pPr>
        <w:pStyle w:val="ListBullet"/>
      </w:pPr>
      <w:r>
        <w:t>Cross-organization update is denied (403/404)</w:t>
      </w:r>
    </w:p>
    <w:p>
      <w:pPr>
        <w:pStyle w:val="ListBullet"/>
      </w:pPr>
      <w:r>
        <w:t>Non-owner activation is denied (403)</w:t>
      </w:r>
    </w:p>
    <w:p>
      <w:pPr>
        <w:pStyle w:val="ListBullet"/>
      </w:pPr>
      <w:r>
        <w:t>Draft skill cannot execute or load as active (400)</w:t>
      </w:r>
    </w:p>
    <w:p>
      <w:pPr>
        <w:pStyle w:val="ListBullet"/>
      </w:pPr>
      <w:r>
        <w:t>Disabled skill is excluded from runtime selection (400)</w:t>
      </w:r>
    </w:p>
    <w:p>
      <w:pPr>
        <w:pStyle w:val="ListBullet"/>
      </w:pPr>
      <w:r>
        <w:t>Active version is immutable (previous version contents preserved)</w:t>
      </w:r>
    </w:p>
    <w:p>
      <w:pPr>
        <w:pStyle w:val="ListBullet"/>
      </w:pPr>
      <w:r>
        <w:t>Duplicate activation request is safe and idempotent (200 OK)</w:t>
      </w:r>
    </w:p>
    <w:p>
      <w:pPr>
        <w:pStyle w:val="ListBullet"/>
      </w:pPr>
      <w:r>
        <w:t>Invalid or destructive requested tool is rejected (422) [9 parametrized destructive tools tested]</w:t>
      </w:r>
    </w:p>
    <w:p>
      <w:pPr>
        <w:pStyle w:val="ListBullet"/>
      </w:pPr>
      <w:r>
        <w:t>Audit record contains organization, actor, event and version</w:t>
      </w:r>
    </w:p>
    <w:p>
      <w:pPr>
        <w:pStyle w:val="ListBullet"/>
      </w:pPr>
      <w:r>
        <w:t>Full end-to-end lifecycle workflow verified</w:t>
      </w:r>
    </w:p>
    <w:p>
      <w:r>
        <w:rPr>
          <w:rFonts w:ascii="Calibri" w:hAnsi="Calibri"/>
          <w:b/>
          <w:color w:val="00529B"/>
          <w:sz w:val="28"/>
        </w:rPr>
        <w:t>Security/Isolation Evidence</w:t>
      </w:r>
    </w:p>
    <w:p>
      <w:r>
        <w:t>Cross-tenant access attempts by XYZ Builders on ABC Construction skills return HTTP 403 and write CROSS_TENANT_ACCESS_DENIED audit events. Non-owner activation attempts fail with HTTP 403 and log UNAUTHORIZED_ACTIVATION_ATTEMPT. Active skill version updates create incremented version rows (v2) leaving v1 untouched. Destructive tools (delete_database, execute_shell, format_disk, etc.) are blocked at the schema boundary.</w:t>
      </w:r>
    </w:p>
    <w:p>
      <w:r>
        <w:rPr>
          <w:rFonts w:ascii="Calibri" w:hAnsi="Calibri"/>
          <w:b/>
          <w:color w:val="00529B"/>
          <w:sz w:val="28"/>
        </w:rPr>
        <w:t>Known Limitations</w:t>
      </w:r>
    </w:p>
    <w:p>
      <w:r>
        <w:t>Header/simulated Bearer token authentication rather than full enterprise OIDC/SAML IdP; simulated tool runtime rather than isolated Wasm/Firecracker micro-VMs; row-level multi-tenancy rather than schema-per-tenant physical database isolation; sequential version increments rather than advisory database write locks.</w:t>
      </w:r>
    </w:p>
    <w:p>
      <w:r>
        <w:rPr>
          <w:rFonts w:ascii="Calibri" w:hAnsi="Calibri"/>
          <w:b/>
          <w:color w:val="00529B"/>
          <w:sz w:val="28"/>
        </w:rPr>
        <w:t>What I Would Implement Next</w:t>
      </w:r>
    </w:p>
    <w:p>
      <w:pPr>
        <w:pStyle w:val="ListNumber"/>
      </w:pPr>
      <w:r>
        <w:t>RS256 JWT validation with an external identity provider (Auth0/Keycloak).</w:t>
      </w:r>
    </w:p>
    <w:p>
      <w:pPr>
        <w:pStyle w:val="ListNumber"/>
      </w:pPr>
      <w:r>
        <w:t>PostgreSQL Row-Level Security (RLS) policies beneath the ORM.</w:t>
      </w:r>
    </w:p>
    <w:p>
      <w:pPr>
        <w:pStyle w:val="ListNumber"/>
      </w:pPr>
      <w:r>
        <w:t>WebAssembly / Firecracker micro-VM isolated runtime for executing approved AI COO tools.</w:t>
      </w:r>
    </w:p>
    <w:p>
      <w:pPr>
        <w:pStyle w:val="ListNumber"/>
      </w:pPr>
      <w:r>
        <w:t>Cryptographic WORM / ledger audit log streaming (AWS QLDB / S3 Object Lock).</w:t>
      </w:r>
    </w:p>
    <w:p>
      <w:r>
        <w:rPr>
          <w:rFonts w:ascii="Calibri" w:hAnsi="Calibri"/>
          <w:b/>
          <w:color w:val="00529B"/>
          <w:sz w:val="28"/>
        </w:rPr>
        <w:t>AI Tools Used</w:t>
      </w:r>
    </w:p>
    <w:p>
      <w:r>
        <w:t>Antigravity AI Coding Assistant (Gemini 3.8 Flash model): Architecture ideation, test design synthesis, and code generation adhering to evaluation constraints.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