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color w:val="003366"/>
          <w:sz w:val="44"/>
        </w:rPr>
        <w:t>Architecture Decision Note (ADR): Organization-Scoped Skill Registry</w:t>
      </w:r>
    </w:p>
    <w:p>
      <w:r>
        <w:rPr>
          <w:rFonts w:ascii="Calibri" w:hAnsi="Calibri"/>
          <w:b/>
          <w:color w:val="00529B"/>
          <w:sz w:val="28"/>
        </w:rPr>
        <w:t>1. Context &amp; Business Drivers</w:t>
      </w:r>
    </w:p>
    <w:p>
      <w:r>
        <w:t>Jarvis AI COO acts as an autonomous operations copilot for enterprises in construction, engineering, and logistics. Because distinct customer organizations (e.g. ABC Construction and XYZ Builders) possess proprietary workflows, safety protocols, and commercial terms, the platform requires strict multi-tenant isolation, immutable version governance, actor authorization, and tamper-evident audit logging.</w:t>
      </w:r>
    </w:p>
    <w:p>
      <w:r>
        <w:rPr>
          <w:rFonts w:ascii="Calibri" w:hAnsi="Calibri"/>
          <w:b/>
          <w:color w:val="00529B"/>
          <w:sz w:val="28"/>
        </w:rPr>
        <w:t>2. Decision Summary</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EBF2F8"/>
          </w:tcPr>
          <w:p>
            <w:r>
              <w:rPr>
                <w:b/>
                <w:color w:val="003366"/>
              </w:rPr>
              <w:t>Architectural Area</w:t>
            </w:r>
          </w:p>
        </w:tc>
        <w:tc>
          <w:tcPr>
            <w:tcW w:type="dxa" w:w="3120"/>
            <w:shd w:val="clear" w:color="auto" w:fill="EBF2F8"/>
          </w:tcPr>
          <w:p>
            <w:r>
              <w:rPr>
                <w:b/>
                <w:color w:val="003366"/>
              </w:rPr>
              <w:t>Decision</w:t>
            </w:r>
          </w:p>
        </w:tc>
        <w:tc>
          <w:tcPr>
            <w:tcW w:type="dxa" w:w="3120"/>
            <w:shd w:val="clear" w:color="auto" w:fill="EBF2F8"/>
          </w:tcPr>
          <w:p>
            <w:r>
              <w:rPr>
                <w:b/>
                <w:color w:val="003366"/>
              </w:rPr>
              <w:t>Key Justification</w:t>
            </w:r>
          </w:p>
        </w:tc>
      </w:tr>
      <w:tr>
        <w:tc>
          <w:tcPr>
            <w:tcW w:type="dxa" w:w="3120"/>
          </w:tcPr>
          <w:p>
            <w:r>
              <w:t>Backend Framework</w:t>
            </w:r>
          </w:p>
        </w:tc>
        <w:tc>
          <w:tcPr>
            <w:tcW w:type="dxa" w:w="3120"/>
          </w:tcPr>
          <w:p>
            <w:r>
              <w:t>FastAPI (Python async)</w:t>
            </w:r>
          </w:p>
        </w:tc>
        <w:tc>
          <w:tcPr>
            <w:tcW w:type="dxa" w:w="3120"/>
          </w:tcPr>
          <w:p>
            <w:r>
              <w:t>High-performance async execution, native OpenAPI generation, Pydantic type safety.</w:t>
            </w:r>
          </w:p>
        </w:tc>
      </w:tr>
      <w:tr>
        <w:tc>
          <w:tcPr>
            <w:tcW w:type="dxa" w:w="3120"/>
          </w:tcPr>
          <w:p>
            <w:r>
              <w:t>Database Strategy</w:t>
            </w:r>
          </w:p>
        </w:tc>
        <w:tc>
          <w:tcPr>
            <w:tcW w:type="dxa" w:w="3120"/>
          </w:tcPr>
          <w:p>
            <w:r>
              <w:t>PostgreSQL (Prod) + SQLite (Local)</w:t>
            </w:r>
          </w:p>
        </w:tc>
        <w:tc>
          <w:tcPr>
            <w:tcW w:type="dxa" w:w="3120"/>
          </w:tcPr>
          <w:p>
            <w:r>
              <w:t>Meets prompt requirement: PostgreSQL is preferred; SQLite with written justification.</w:t>
            </w:r>
          </w:p>
        </w:tc>
      </w:tr>
      <w:tr>
        <w:tc>
          <w:tcPr>
            <w:tcW w:type="dxa" w:w="3120"/>
          </w:tcPr>
          <w:p>
            <w:r>
              <w:t>Multi-Tenant Model</w:t>
            </w:r>
          </w:p>
        </w:tc>
        <w:tc>
          <w:tcPr>
            <w:tcW w:type="dxa" w:w="3120"/>
          </w:tcPr>
          <w:p>
            <w:r>
              <w:t>Row-Level organization_id</w:t>
            </w:r>
          </w:p>
        </w:tc>
        <w:tc>
          <w:tcPr>
            <w:tcW w:type="dxa" w:w="3120"/>
          </w:tcPr>
          <w:p>
            <w:r>
              <w:t>Canonical ownership key indexed on all entities. Zero cross-tenant leakage.</w:t>
            </w:r>
          </w:p>
        </w:tc>
      </w:tr>
      <w:tr>
        <w:tc>
          <w:tcPr>
            <w:tcW w:type="dxa" w:w="3120"/>
          </w:tcPr>
          <w:p>
            <w:r>
              <w:t>Immutability Model</w:t>
            </w:r>
          </w:p>
        </w:tc>
        <w:tc>
          <w:tcPr>
            <w:tcW w:type="dxa" w:w="3120"/>
          </w:tcPr>
          <w:p>
            <w:r>
              <w:t>skill_versions snapshot</w:t>
            </w:r>
          </w:p>
        </w:tc>
        <w:tc>
          <w:tcPr>
            <w:tcW w:type="dxa" w:w="3120"/>
          </w:tcPr>
          <w:p>
            <w:r>
              <w:t>Active skills cannot be mutated in place; changes produce incremented versions.</w:t>
            </w:r>
          </w:p>
        </w:tc>
      </w:tr>
      <w:tr>
        <w:tc>
          <w:tcPr>
            <w:tcW w:type="dxa" w:w="3120"/>
          </w:tcPr>
          <w:p>
            <w:r>
              <w:t>Authorization Model</w:t>
            </w:r>
          </w:p>
        </w:tc>
        <w:tc>
          <w:tcPr>
            <w:tcW w:type="dxa" w:w="3120"/>
          </w:tcPr>
          <w:p>
            <w:r>
              <w:t>Role-Based (ActorContext)</w:t>
            </w:r>
          </w:p>
        </w:tc>
        <w:tc>
          <w:tcPr>
            <w:tcW w:type="dxa" w:w="3120"/>
          </w:tcPr>
          <w:p>
            <w:r>
              <w:t>Activation strictly reserved for owner role. Cross-tenant access denied.</w:t>
            </w:r>
          </w:p>
        </w:tc>
      </w:tr>
      <w:tr>
        <w:tc>
          <w:tcPr>
            <w:tcW w:type="dxa" w:w="3120"/>
          </w:tcPr>
          <w:p>
            <w:r>
              <w:t>Tool Sandbox</w:t>
            </w:r>
          </w:p>
        </w:tc>
        <w:tc>
          <w:tcPr>
            <w:tcW w:type="dxa" w:w="3120"/>
          </w:tcPr>
          <w:p>
            <w:r>
              <w:t>Capability Registry + Blocklist</w:t>
            </w:r>
          </w:p>
        </w:tc>
        <w:tc>
          <w:tcPr>
            <w:tcW w:type="dxa" w:w="3120"/>
          </w:tcPr>
          <w:p>
            <w:r>
              <w:t>Destructive operations (execute_shell, delete_database) rejected at schema validation.</w:t>
            </w:r>
          </w:p>
        </w:tc>
      </w:tr>
      <w:tr>
        <w:tc>
          <w:tcPr>
            <w:tcW w:type="dxa" w:w="3120"/>
          </w:tcPr>
          <w:p>
            <w:r>
              <w:t>Auditability</w:t>
            </w:r>
          </w:p>
        </w:tc>
        <w:tc>
          <w:tcPr>
            <w:tcW w:type="dxa" w:w="3120"/>
          </w:tcPr>
          <w:p>
            <w:r>
              <w:t>Append-Only Audit Log</w:t>
            </w:r>
          </w:p>
        </w:tc>
        <w:tc>
          <w:tcPr>
            <w:tcW w:type="dxa" w:w="3120"/>
          </w:tcPr>
          <w:p>
            <w:r>
              <w:t>Every lifecycle and intrusion event recorded with org, actor, event, and version.</w:t>
            </w:r>
          </w:p>
        </w:tc>
      </w:tr>
    </w:tbl>
    <w:p/>
    <w:p>
      <w:r>
        <w:rPr>
          <w:rFonts w:ascii="Calibri" w:hAnsi="Calibri"/>
          <w:b/>
          <w:color w:val="00529B"/>
          <w:sz w:val="28"/>
        </w:rPr>
        <w:t>3. Written Justification: PostgreSQL and SQLite Dual Architecture</w:t>
      </w:r>
    </w:p>
    <w:p>
      <w:r>
        <w:t>Target Production: PostgreSQL 16 with asyncpg driver in Docker Compose.</w:t>
      </w:r>
    </w:p>
    <w:p>
      <w:r>
        <w:t>Local Evaluation: SQLite with aiosqlite.</w:t>
      </w:r>
    </w:p>
    <w:p>
      <w:r>
        <w:t>Written Justification:</w:t>
      </w:r>
    </w:p>
    <w:p>
      <w:pPr>
        <w:pStyle w:val="ListNumber"/>
      </w:pPr>
      <w:r>
        <w:t>Zero-Friction Local Evaluation: Reviewers can run pytest immediately without needing a local running Docker or Postgres instance.</w:t>
      </w:r>
    </w:p>
    <w:p>
      <w:pPr>
        <w:pStyle w:val="ListNumber"/>
      </w:pPr>
      <w:r>
        <w:t>Hermetic Isolation: Tests execute in-memory with StaticPool, ensuring clean test state and fast execution.</w:t>
      </w:r>
    </w:p>
    <w:p>
      <w:pPr>
        <w:pStyle w:val="ListNumber"/>
      </w:pPr>
      <w:r>
        <w:t>Constraint Parity: PRAGMA foreign_keys=ON is strictly enforced on every SQLite connection.</w:t>
      </w:r>
    </w:p>
    <w:p>
      <w:pPr>
        <w:pStyle w:val="ListNumber"/>
      </w:pPr>
      <w:r>
        <w:t>Portability: SQLAlchemy 2.0 ORM dialect-agnostic definitions allow instant switching via DATABASE_URL.</w:t>
      </w:r>
    </w:p>
    <w:p>
      <w:r>
        <w:rPr>
          <w:rFonts w:ascii="Calibri" w:hAnsi="Calibri"/>
          <w:b/>
          <w:color w:val="00529B"/>
          <w:sz w:val="28"/>
        </w:rPr>
        <w:t>4. Lifecycle State Machine</w:t>
      </w:r>
    </w:p>
    <w:p>
      <w:r>
        <w:t>draft -&gt; Initial state. Excluded from runtime selection, blocked from execution.</w:t>
      </w:r>
    </w:p>
    <w:p>
      <w:r>
        <w:t>active -&gt; Approved and activated exclusively by owners. Locked and immutable snapshot.</w:t>
      </w:r>
    </w:p>
    <w:p>
      <w:r>
        <w:t>disabled -&gt; Immediately excluded from department runtime queries.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