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3366"/>
          <w:sz w:val="44"/>
        </w:rPr>
        <w:t>Known Limitations &amp; Production Roadmap</w:t>
      </w:r>
    </w:p>
    <w:p>
      <w:r>
        <w:rPr>
          <w:rFonts w:ascii="Calibri" w:hAnsi="Calibri"/>
          <w:b/>
          <w:color w:val="00529B"/>
          <w:sz w:val="28"/>
        </w:rPr>
        <w:t>1. Authentication &amp; Identity Provider (IdP)</w:t>
      </w:r>
    </w:p>
    <w:p>
      <w:r>
        <w:t>Current Vertical Slice: Multi-tenant test headers and simulated Bearer tokens.</w:t>
      </w:r>
    </w:p>
    <w:p>
      <w:r>
        <w:t>Production Roadmap: RS256 JWT validation integrated with OIDC / SAML 2.0 provider (Auth0, Okta, Keycloak).</w:t>
      </w:r>
    </w:p>
    <w:p>
      <w:r>
        <w:rPr>
          <w:rFonts w:ascii="Calibri" w:hAnsi="Calibri"/>
          <w:b/>
          <w:color w:val="00529B"/>
          <w:sz w:val="28"/>
        </w:rPr>
        <w:t>2. Tool Execution Sandbox</w:t>
      </w:r>
    </w:p>
    <w:p>
      <w:r>
        <w:t>Current Vertical Slice: Validates tool requests against catalog and rejects destructive tools.</w:t>
      </w:r>
    </w:p>
    <w:p>
      <w:r>
        <w:t>Production Roadmap: WebAssembly (Wasm) or Firecracker micro-VM isolated execution runtimes.</w:t>
      </w:r>
    </w:p>
    <w:p>
      <w:r>
        <w:rPr>
          <w:rFonts w:ascii="Calibri" w:hAnsi="Calibri"/>
          <w:b/>
          <w:color w:val="00529B"/>
          <w:sz w:val="28"/>
        </w:rPr>
        <w:t>3. Database Multi-Tenancy Strategy</w:t>
      </w:r>
    </w:p>
    <w:p>
      <w:r>
        <w:t>Current Vertical Slice: Row-level tenant discriminator organization_id in shared database.</w:t>
      </w:r>
    </w:p>
    <w:p>
      <w:r>
        <w:t>Production Roadmap: PostgreSQL Row-Level Security (RLS) policies and schema-per-tenant isolation for high compliance.</w:t>
      </w:r>
    </w:p>
    <w:p>
      <w:r>
        <w:rPr>
          <w:rFonts w:ascii="Calibri" w:hAnsi="Calibri"/>
          <w:b/>
          <w:color w:val="00529B"/>
          <w:sz w:val="28"/>
        </w:rPr>
        <w:t>4. Concurrent Version Drafting</w:t>
      </w:r>
    </w:p>
    <w:p>
      <w:r>
        <w:t>Current Vertical Slice: Sequential max(version) + 1 calculation.</w:t>
      </w:r>
    </w:p>
    <w:p>
      <w:r>
        <w:t>Production Roadmap: Database advisory locks or optimistic concurrency controls during version creation.</w:t>
      </w:r>
    </w:p>
    <w:p>
      <w:r>
        <w:rPr>
          <w:rFonts w:ascii="Calibri" w:hAnsi="Calibri"/>
          <w:b/>
          <w:color w:val="00529B"/>
          <w:sz w:val="28"/>
        </w:rPr>
        <w:t>5. Audit Trail Immutability</w:t>
      </w:r>
    </w:p>
    <w:p>
      <w:r>
        <w:t>Current Vertical Slice: Relational append-only table.</w:t>
      </w:r>
    </w:p>
    <w:p>
      <w:r>
        <w:t>Production Roadmap: Write-Once-Read-Many (WORM) storage (AWS S3 Object Lock, QLDB) with cryptographic hash chains.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