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44"/>
        </w:rPr>
        <w:t>Organization-Scoped Skill Registry Vertical Slice</w:t>
      </w:r>
    </w:p>
    <w:p>
      <w:r>
        <w:rPr>
          <w:rFonts w:ascii="Calibri" w:hAnsi="Calibri"/>
          <w:b/>
          <w:color w:val="00529B"/>
          <w:sz w:val="28"/>
        </w:rPr>
        <w:t>1. Overview &amp; Core Guarantees</w:t>
      </w:r>
    </w:p>
    <w:p>
      <w:r>
        <w:t>This service provides an organization-scoped registry where enterprise organizations (such as ABC Construction and XYZ Builders) can draft, review, version, and activate AI COO operational skills without risk of cross-tenant data leakage or silent in-place prompt mutation.</w:t>
      </w:r>
    </w:p>
    <w:p>
      <w:r>
        <w:t>Core Architectural Guarantees:</w:t>
      </w:r>
    </w:p>
    <w:p>
      <w:pPr>
        <w:pStyle w:val="ListBullet"/>
      </w:pPr>
      <w:r>
        <w:t>Canonical Ownership Boundary: All entities are strictly keyed by organization_id. Cross-tenant queries are blocked and audited.</w:t>
      </w:r>
    </w:p>
    <w:p>
      <w:pPr>
        <w:pStyle w:val="ListBullet"/>
      </w:pPr>
      <w:r>
        <w:t>Skill Lifecycle: State transitions strictly follow draft -&gt; active -&gt; disabled.</w:t>
      </w:r>
    </w:p>
    <w:p>
      <w:pPr>
        <w:pStyle w:val="ListBullet"/>
      </w:pPr>
      <w:r>
        <w:t>Immutable Versioning: An active skill cannot be mutated in place. Any update produces an incremented immutable snapshot (v1, v2, ...).</w:t>
      </w:r>
    </w:p>
    <w:p>
      <w:pPr>
        <w:pStyle w:val="ListBullet"/>
      </w:pPr>
      <w:r>
        <w:t>Role-Based Activation: Only organization owner roles can activate skills. Duplicate activation requests are safe and idempotent.</w:t>
      </w:r>
    </w:p>
    <w:p>
      <w:pPr>
        <w:pStyle w:val="ListBullet"/>
      </w:pPr>
      <w:r>
        <w:t>Tool Sandboxing: Requested tools are validated against an approved registry. Destructive primitives (delete_database, execute_shell, format_disk, etc.) are rejected with explicit HTTP 422 errors.</w:t>
      </w:r>
    </w:p>
    <w:p>
      <w:pPr>
        <w:pStyle w:val="ListBullet"/>
      </w:pPr>
      <w:r>
        <w:t>Auditability: An append-only audit trail records every draft creation, version addition, activation, disablement, and cross-tenant access violation.</w:t>
      </w:r>
    </w:p>
    <w:p>
      <w:pPr>
        <w:pStyle w:val="ListBullet"/>
      </w:pPr>
      <w:r>
        <w:t>Dual Database Architecture: Target production runs on PostgreSQL (Docker Compose); zero-dependency local evaluation runs on SQLite with enforced foreign key pragmas.</w:t>
      </w:r>
    </w:p>
    <w:p>
      <w:r>
        <w:rPr>
          <w:rFonts w:ascii="Calibri" w:hAnsi="Calibri"/>
          <w:b/>
          <w:color w:val="00529B"/>
          <w:sz w:val="28"/>
        </w:rPr>
        <w:t>2. Pre-Seeded Fixture Organizations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BF2F8"/>
          </w:tcPr>
          <w:p>
            <w:r>
              <w:rPr>
                <w:b/>
                <w:color w:val="003366"/>
              </w:rPr>
              <w:t>Organization</w:t>
            </w:r>
          </w:p>
        </w:tc>
        <w:tc>
          <w:tcPr>
            <w:tcW w:type="dxa" w:w="2340"/>
            <w:shd w:val="clear" w:color="auto" w:fill="EBF2F8"/>
          </w:tcPr>
          <w:p>
            <w:r>
              <w:rPr>
                <w:b/>
                <w:color w:val="003366"/>
              </w:rPr>
              <w:t>ID</w:t>
            </w:r>
          </w:p>
        </w:tc>
        <w:tc>
          <w:tcPr>
            <w:tcW w:type="dxa" w:w="2340"/>
            <w:shd w:val="clear" w:color="auto" w:fill="EBF2F8"/>
          </w:tcPr>
          <w:p>
            <w:r>
              <w:rPr>
                <w:b/>
                <w:color w:val="003366"/>
              </w:rPr>
              <w:t>Fixture Users</w:t>
            </w:r>
          </w:p>
        </w:tc>
        <w:tc>
          <w:tcPr>
            <w:tcW w:type="dxa" w:w="2340"/>
            <w:shd w:val="clear" w:color="auto" w:fill="EBF2F8"/>
          </w:tcPr>
          <w:p>
            <w:r>
              <w:rPr>
                <w:b/>
                <w:color w:val="003366"/>
              </w:rPr>
              <w:t>Roles</w:t>
            </w:r>
          </w:p>
        </w:tc>
      </w:tr>
      <w:tr>
        <w:tc>
          <w:tcPr>
            <w:tcW w:type="dxa" w:w="2340"/>
          </w:tcPr>
          <w:p>
            <w:r>
              <w:t>ABC Construction</w:t>
            </w:r>
          </w:p>
        </w:tc>
        <w:tc>
          <w:tcPr>
            <w:tcW w:type="dxa" w:w="2340"/>
          </w:tcPr>
          <w:p>
            <w:r>
              <w:t>org_abc</w:t>
            </w:r>
          </w:p>
        </w:tc>
        <w:tc>
          <w:tcPr>
            <w:tcW w:type="dxa" w:w="2340"/>
          </w:tcPr>
          <w:p>
            <w:r>
              <w:t>alice_owner, bob_member</w:t>
            </w:r>
          </w:p>
        </w:tc>
        <w:tc>
          <w:tcPr>
            <w:tcW w:type="dxa" w:w="2340"/>
          </w:tcPr>
          <w:p>
            <w:r>
              <w:t>owner, member (Field Engineer)</w:t>
            </w:r>
          </w:p>
        </w:tc>
      </w:tr>
      <w:tr>
        <w:tc>
          <w:tcPr>
            <w:tcW w:type="dxa" w:w="2340"/>
          </w:tcPr>
          <w:p>
            <w:r>
              <w:t>XYZ Builders</w:t>
            </w:r>
          </w:p>
        </w:tc>
        <w:tc>
          <w:tcPr>
            <w:tcW w:type="dxa" w:w="2340"/>
          </w:tcPr>
          <w:p>
            <w:r>
              <w:t>org_xyz</w:t>
            </w:r>
          </w:p>
        </w:tc>
        <w:tc>
          <w:tcPr>
            <w:tcW w:type="dxa" w:w="2340"/>
          </w:tcPr>
          <w:p>
            <w:r>
              <w:t>carol_owner, dan_member</w:t>
            </w:r>
          </w:p>
        </w:tc>
        <w:tc>
          <w:tcPr>
            <w:tcW w:type="dxa" w:w="2340"/>
          </w:tcPr>
          <w:p>
            <w:r>
              <w:t>owner, member (Project Manager)</w:t>
            </w:r>
          </w:p>
        </w:tc>
      </w:tr>
    </w:tbl>
    <w:p/>
    <w:p>
      <w:r>
        <w:rPr>
          <w:rFonts w:ascii="Calibri" w:hAnsi="Calibri"/>
          <w:b/>
          <w:color w:val="00529B"/>
          <w:sz w:val="28"/>
        </w:rPr>
        <w:t>3. Quickstart &amp; Deployment</w:t>
      </w:r>
    </w:p>
    <w:p>
      <w:r>
        <w:t>Option A: Docker Compose (PostgreSQL Stack)</w:t>
      </w:r>
    </w:p>
    <w:p>
      <w:pPr>
        <w:pStyle w:val="ListNumber"/>
      </w:pPr>
      <w:r>
        <w:t>Copy environment template: cp .env.example .env</w:t>
      </w:r>
    </w:p>
    <w:p>
      <w:pPr>
        <w:pStyle w:val="ListNumber"/>
      </w:pPr>
      <w:r>
        <w:t>Build and launch: docker-compose up --build -d</w:t>
      </w:r>
    </w:p>
    <w:p>
      <w:pPr>
        <w:pStyle w:val="ListNumber"/>
      </w:pPr>
      <w:r>
        <w:t>Verify health: curl http://localhost:8000/health</w:t>
      </w:r>
    </w:p>
    <w:p>
      <w:r>
        <w:t>Option B: Local Zero-Config Evaluation (SQLite)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Run server: uvicorn app.main:app --port 8000</w:t>
      </w:r>
    </w:p>
    <w:p>
      <w:pPr>
        <w:pStyle w:val="ListNumber"/>
      </w:pPr>
      <w:r>
        <w:t>Open Swagger UI at http://127.0.0.1:8000/docs</w:t>
      </w:r>
    </w:p>
    <w:p>
      <w:r>
        <w:rPr>
          <w:rFonts w:ascii="Calibri" w:hAnsi="Calibri"/>
          <w:b/>
          <w:color w:val="00529B"/>
          <w:sz w:val="28"/>
        </w:rPr>
        <w:t>4. Running Automated Tests</w:t>
      </w:r>
    </w:p>
    <w:p>
      <w:r>
        <w:rPr>
          <w:rFonts w:ascii="Consolas" w:hAnsi="Consolas"/>
          <w:sz w:val="19"/>
        </w:rPr>
        <w:t>pytest -v tests/</w:t>
      </w:r>
    </w:p>
    <w:p>
      <w:r>
        <w:rPr>
          <w:rFonts w:ascii="Calibri" w:hAnsi="Calibri"/>
          <w:b/>
          <w:color w:val="00529B"/>
          <w:sz w:val="28"/>
        </w:rPr>
        <w:t>5. End-to-End Workflow API Examples</w:t>
      </w:r>
    </w:p>
    <w:p>
      <w:r>
        <w:t>Step 1: Create a Skill Draft (Member or Owner)</w:t>
      </w:r>
    </w:p>
    <w:p>
      <w:r>
        <w:t>POST /api/v1/skills with headers: X-Organization-Id: org_abc, X-User-Id: bob_member, X-User-Role: member</w:t>
      </w:r>
    </w:p>
    <w:p>
      <w:r>
        <w:t>Step 2: Read Skill &amp; Version History</w:t>
      </w:r>
    </w:p>
    <w:p>
      <w:r>
        <w:t>GET /api/v1/skills/{id}</w:t>
      </w:r>
    </w:p>
    <w:p>
      <w:r>
        <w:t>Step 3: Owner Activation (Idempotent)</w:t>
      </w:r>
    </w:p>
    <w:p>
      <w:r>
        <w:t>POST /api/v1/skills/{id}/activate with headers: X-User-Role: owner</w:t>
      </w:r>
    </w:p>
    <w:p>
      <w:r>
        <w:t>Step 4: Department Runtime Retrieval</w:t>
      </w:r>
    </w:p>
    <w:p>
      <w:r>
        <w:t>GET /api/v1/skills/runtime/department/operations</w:t>
      </w:r>
    </w:p>
    <w:p>
      <w:r>
        <w:t>Step 5: Audit Trail Verification</w:t>
      </w:r>
    </w:p>
    <w:p>
      <w:r>
        <w:t>GET /api/v1/audit-logs?resource_id={id}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