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sz w:val="28"/>
          <w:szCs w:val="28"/>
        </w:rPr>
        <w:t xml:space="preserve">Universidad del Desarrollo</w:t>
      </w:r>
    </w:p>
    <w:p>
      <w:pPr>
        <w:spacing w:after="1200"/>
        <w:jc w:val="center"/>
      </w:pPr>
      <w:r>
        <w:rPr>
          <w:sz w:val="28"/>
          <w:szCs w:val="28"/>
        </w:rPr>
        <w:t xml:space="preserve">Seguridad y Protección de Datos</w:t>
      </w:r>
    </w:p>
    <w:p>
      <w:pPr>
        <w:jc w:val="center"/>
      </w:pPr>
      <w:r>
        <w:rPr>
          <w:b/>
          <w:bCs/>
          <w:sz w:val="32"/>
          <w:szCs w:val="32"/>
        </w:rPr>
        <w:t xml:space="preserve">Hito 1</w:t>
      </w:r>
    </w:p>
    <w:p>
      <w:pPr>
        <w:spacing w:after="1200"/>
        <w:jc w:val="center"/>
      </w:pPr>
      <w:r>
        <w:rPr>
          <w:b/>
          <w:bCs/>
          <w:sz w:val="40"/>
          <w:szCs w:val="40"/>
        </w:rPr>
        <w:t xml:space="preserve">Inventario y Clasificación de Datos Personales</w:t>
      </w:r>
    </w:p>
    <w:p>
      <w:pPr>
        <w:spacing w:after="160"/>
        <w:jc w:val="center"/>
      </w:pPr>
      <w:r>
        <w:rPr>
          <w:b/>
          <w:bCs/>
          <w:sz w:val="24"/>
          <w:szCs w:val="24"/>
        </w:rPr>
        <w:t xml:space="preserve">Caso elegido: </w:t>
      </w:r>
      <w:r>
        <w:rPr>
          <w:sz w:val="24"/>
          <w:szCs w:val="24"/>
        </w:rPr>
        <w:t xml:space="preserve">MTG Companion — app de intercambio y compraventa de cartas de Magic: The Gathering</w:t>
      </w:r>
    </w:p>
    <w:p>
      <w:pPr>
        <w:spacing w:after="160"/>
        <w:jc w:val="center"/>
      </w:pPr>
      <w:r>
        <w:rPr>
          <w:b/>
          <w:bCs/>
          <w:sz w:val="24"/>
          <w:szCs w:val="24"/>
        </w:rPr>
        <w:t xml:space="preserve">Grupo: </w:t>
      </w:r>
      <w:r>
        <w:rPr>
          <w:sz w:val="24"/>
          <w:szCs w:val="24"/>
        </w:rPr>
        <w:t xml:space="preserve">MTG Companion</w:t>
      </w:r>
    </w:p>
    <w:p>
      <w:pPr>
        <w:spacing w:after="160"/>
        <w:jc w:val="center"/>
      </w:pPr>
      <w:r>
        <w:rPr>
          <w:b/>
          <w:bCs/>
          <w:sz w:val="24"/>
          <w:szCs w:val="24"/>
        </w:rPr>
        <w:t xml:space="preserve">Integrantes: </w:t>
      </w:r>
      <w:r>
        <w:rPr>
          <w:sz w:val="24"/>
          <w:szCs w:val="24"/>
        </w:rPr>
        <w:t xml:space="preserve">Vicente Fuentes · Tomás Rodriguez · Tomás Solano</w:t>
      </w:r>
    </w:p>
    <w:p>
      <w:pPr>
        <w:spacing w:after="160"/>
        <w:jc w:val="center"/>
      </w:pPr>
      <w:r>
        <w:rPr>
          <w:b/>
          <w:bCs/>
          <w:sz w:val="24"/>
          <w:szCs w:val="24"/>
        </w:rPr>
        <w:t xml:space="preserve">Fecha: </w:t>
      </w:r>
      <w:r>
        <w:rPr>
          <w:sz w:val="24"/>
          <w:szCs w:val="24"/>
        </w:rPr>
        <w:t xml:space="preserve">2 de octubre de 2026</w:t>
      </w:r>
    </w:p>
    <w:p>
      <w:pPr>
        <w:sectPr>
          <w:pgSz w:w="11906" w:h="16838" w:orient="portrait"/>
          <w:pgMar w:top="851" w:right="1417" w:bottom="851" w:left="1417" w:header="708" w:footer="708" w:gutter="0"/>
          <w:pgNumType/>
          <w:docGrid w:linePitch="360"/>
        </w:sectPr>
      </w:pPr>
    </w:p>
    <w:p>
      <w:pPr>
        <w:pStyle w:val="Heading1"/>
        <w:keepNext/>
      </w:pPr>
      <w:r>
        <w:t xml:space="preserve">2. Índice</w:t>
      </w:r>
    </w:p>
    <w:p>
      <w:pPr>
        <w:tabs>
          <w:tab w:val="right" w:pos="9072" w:leader="dot"/>
        </w:tabs>
        <w:spacing w:after="80"/>
      </w:pPr>
      <w:r>
        <w:rPr>
          <w:sz w:val="22"/>
          <w:szCs w:val="22"/>
        </w:rPr>
        <w:t xml:space="preserve">1. Portada</w:t>
      </w:r>
      <w:r>
        <w:rPr>
          <w:sz w:val="22"/>
          <w:szCs w:val="22"/>
        </w:rPr>
        <w:tab/>
        <w:t xml:space="preserve">1</w:t>
      </w:r>
    </w:p>
    <w:p>
      <w:pPr>
        <w:tabs>
          <w:tab w:val="right" w:pos="9072" w:leader="dot"/>
        </w:tabs>
        <w:spacing w:after="80"/>
      </w:pPr>
      <w:r>
        <w:rPr>
          <w:sz w:val="22"/>
          <w:szCs w:val="22"/>
        </w:rPr>
        <w:t xml:space="preserve">2. Índice</w:t>
      </w:r>
      <w:r>
        <w:rPr>
          <w:sz w:val="22"/>
          <w:szCs w:val="22"/>
        </w:rPr>
        <w:tab/>
        <w:t xml:space="preserve">2</w:t>
      </w:r>
    </w:p>
    <w:p>
      <w:pPr>
        <w:tabs>
          <w:tab w:val="right" w:pos="9072" w:leader="dot"/>
        </w:tabs>
        <w:spacing w:after="80"/>
      </w:pPr>
      <w:r>
        <w:rPr>
          <w:sz w:val="22"/>
          <w:szCs w:val="22"/>
        </w:rPr>
        <w:t xml:space="preserve">3. Introducción</w:t>
      </w:r>
      <w:r>
        <w:rPr>
          <w:sz w:val="22"/>
          <w:szCs w:val="22"/>
        </w:rPr>
        <w:tab/>
        <w:t xml:space="preserve">3</w:t>
      </w:r>
    </w:p>
    <w:p>
      <w:pPr>
        <w:tabs>
          <w:tab w:val="right" w:pos="9072" w:leader="dot"/>
        </w:tabs>
        <w:spacing w:after="80"/>
      </w:pPr>
      <w:r>
        <w:rPr>
          <w:sz w:val="22"/>
          <w:szCs w:val="22"/>
        </w:rPr>
        <w:t xml:space="preserve">4. Inventario de datos personales</w:t>
      </w:r>
      <w:r>
        <w:rPr>
          <w:sz w:val="22"/>
          <w:szCs w:val="22"/>
        </w:rPr>
        <w:tab/>
        <w:t xml:space="preserve">4</w:t>
      </w:r>
    </w:p>
    <w:p>
      <w:pPr>
        <w:tabs>
          <w:tab w:val="right" w:pos="9072" w:leader="dot"/>
        </w:tabs>
        <w:spacing w:after="80"/>
      </w:pPr>
      <w:r>
        <w:rPr>
          <w:sz w:val="22"/>
          <w:szCs w:val="22"/>
        </w:rPr>
        <w:t xml:space="preserve">5. Mapa de flujos de datos</w:t>
      </w:r>
      <w:r>
        <w:rPr>
          <w:sz w:val="22"/>
          <w:szCs w:val="22"/>
        </w:rPr>
        <w:tab/>
        <w:t xml:space="preserve">6</w:t>
      </w:r>
    </w:p>
    <w:p>
      <w:pPr>
        <w:tabs>
          <w:tab w:val="right" w:pos="9072" w:leader="dot"/>
        </w:tabs>
        <w:spacing w:after="80"/>
      </w:pPr>
      <w:r>
        <w:rPr>
          <w:sz w:val="22"/>
          <w:szCs w:val="22"/>
        </w:rPr>
        <w:t xml:space="preserve">6. Clasificación por sensibilidad</w:t>
      </w:r>
      <w:r>
        <w:rPr>
          <w:sz w:val="22"/>
          <w:szCs w:val="22"/>
        </w:rPr>
        <w:tab/>
        <w:t xml:space="preserve">8</w:t>
      </w:r>
    </w:p>
    <w:p>
      <w:pPr>
        <w:tabs>
          <w:tab w:val="right" w:pos="9072" w:leader="dot"/>
        </w:tabs>
        <w:spacing w:after="80"/>
      </w:pPr>
      <w:r>
        <w:rPr>
          <w:sz w:val="22"/>
          <w:szCs w:val="22"/>
        </w:rPr>
        <w:t xml:space="preserve">7. Finalidad y base de licitud</w:t>
      </w:r>
      <w:r>
        <w:rPr>
          <w:sz w:val="22"/>
          <w:szCs w:val="22"/>
        </w:rPr>
        <w:tab/>
        <w:t xml:space="preserve">9</w:t>
      </w:r>
    </w:p>
    <w:p>
      <w:pPr>
        <w:tabs>
          <w:tab w:val="right" w:pos="9072" w:leader="dot"/>
        </w:tabs>
        <w:spacing w:after="80"/>
      </w:pPr>
      <w:r>
        <w:rPr>
          <w:sz w:val="22"/>
          <w:szCs w:val="22"/>
        </w:rPr>
        <w:t xml:space="preserve">8. Conclusiones</w:t>
      </w:r>
      <w:r>
        <w:rPr>
          <w:sz w:val="22"/>
          <w:szCs w:val="22"/>
        </w:rPr>
        <w:tab/>
        <w:t xml:space="preserve">10</w:t>
      </w:r>
    </w:p>
    <w:p>
      <w:pPr>
        <w:tabs>
          <w:tab w:val="right" w:pos="9072" w:leader="dot"/>
        </w:tabs>
        <w:spacing w:after="80"/>
      </w:pPr>
      <w:r>
        <w:rPr>
          <w:sz w:val="22"/>
          <w:szCs w:val="22"/>
        </w:rPr>
        <w:t xml:space="preserve">9. Referencias</w:t>
      </w:r>
      <w:r>
        <w:rPr>
          <w:sz w:val="22"/>
          <w:szCs w:val="22"/>
        </w:rPr>
        <w:tab/>
        <w:t xml:space="preserve">11</w:t>
      </w:r>
    </w:p>
    <w:p>
      <w:pPr>
        <w:tabs>
          <w:tab w:val="right" w:pos="9072" w:leader="dot"/>
        </w:tabs>
        <w:spacing w:after="80"/>
      </w:pPr>
      <w:r>
        <w:rPr>
          <w:sz w:val="22"/>
          <w:szCs w:val="22"/>
        </w:rPr>
        <w:t xml:space="preserve">10. Anexos</w:t>
      </w:r>
      <w:r>
        <w:rPr>
          <w:sz w:val="22"/>
          <w:szCs w:val="22"/>
        </w:rPr>
        <w:tab/>
        <w:t xml:space="preserve">12</w:t>
      </w:r>
    </w:p>
    <w:p>
      <w:pPr>
        <w:tabs>
          <w:tab w:val="right" w:pos="9072" w:leader="dot"/>
        </w:tabs>
        <w:spacing w:after="80"/>
        <w:ind w:left="400"/>
      </w:pPr>
      <w:r>
        <w:rPr>
          <w:sz w:val="22"/>
          <w:szCs w:val="22"/>
        </w:rPr>
        <w:t xml:space="preserve">Anexo A — Actividad N°1: Mapeo de actores, datos y riesgos CIA</w:t>
      </w:r>
      <w:r>
        <w:rPr>
          <w:sz w:val="22"/>
          <w:szCs w:val="22"/>
        </w:rPr>
        <w:tab/>
        <w:t xml:space="preserve">12</w:t>
      </w:r>
    </w:p>
    <w:p>
      <w:pPr>
        <w:tabs>
          <w:tab w:val="right" w:pos="9072" w:leader="dot"/>
        </w:tabs>
        <w:spacing w:after="80"/>
        <w:ind w:left="400"/>
      </w:pPr>
      <w:r>
        <w:rPr>
          <w:sz w:val="22"/>
          <w:szCs w:val="22"/>
        </w:rPr>
        <w:t xml:space="preserve">Anexo B — Actividad N°2: Cifrado, hashing y tokenización</w:t>
      </w:r>
      <w:r>
        <w:rPr>
          <w:sz w:val="22"/>
          <w:szCs w:val="22"/>
        </w:rPr>
        <w:tab/>
        <w:t xml:space="preserve">15</w:t>
      </w:r>
    </w:p>
    <w:p>
      <w:pPr>
        <w:pStyle w:val="Heading1"/>
        <w:keepNext/>
        <w:pageBreakBefore/>
      </w:pPr>
      <w:r>
        <w:t xml:space="preserve">3. Introducción</w:t>
      </w:r>
    </w:p>
    <w:p>
      <w:pPr>
        <w:spacing w:after="120"/>
        <w:jc w:val="both"/>
      </w:pPr>
      <w:r>
        <w:rPr>
          <w:b/>
          <w:bCs/>
        </w:rPr>
        <w:t xml:space="preserve">MTG Companion</w:t>
      </w:r>
      <w:r>
        <w:t xml:space="preserve"> es una aplicación móvil (Android) para jugadores de </w:t>
      </w:r>
      <w:r>
        <w:rPr>
          <w:i/>
          <w:iCs/>
        </w:rPr>
        <w:t xml:space="preserve">Magic: The Gathering</w:t>
      </w:r>
      <w:r>
        <w:t xml:space="preserve">. Permite escanear una carta para identificarla y estimar su condición y precio; guardarla en una colección personal (la "Bóveda"); publicarla en un mercado entre jugadores (el "Bazaar") con búsqueda por cercanía; recibir ofertas; pagar con MercadoPago o en efectivo; y confirmar la entrega con un código QR firmado. Incluye segundo factor de autenticación (2FA) y una ruleta de cupones.</w:t>
      </w:r>
    </w:p>
    <w:p>
      <w:pPr>
        <w:spacing w:after="120"/>
        <w:jc w:val="both"/>
      </w:pPr>
      <w:r>
        <w:t xml:space="preserve">Relevante para este informe: </w:t>
      </w:r>
      <w:r>
        <w:rPr>
          <w:b/>
          <w:bCs/>
        </w:rPr>
        <w:t xml:space="preserve">el reconocimiento de cartas ocurre íntegramente en el teléfono</w:t>
      </w:r>
      <w:r>
        <w:t xml:space="preserve"> (OCR y cuatro modelos de IA locales), así que las imágenes de la cámara no llegan al servidor salvo que el usuario publique una foto. El servidor (API NestJS con PostgreSQL) solo guarda lo que el usuario decide registrar y se aloja en Amazon Web Services, región us-east-1 (Estados Unidos).</w:t>
      </w:r>
    </w:p>
    <w:p>
      <w:pPr>
        <w:spacing w:after="120"/>
        <w:jc w:val="both"/>
      </w:pPr>
      <w:r>
        <w:rPr>
          <w:b/>
          <w:bCs/>
        </w:rPr>
        <w:t xml:space="preserve">Actores que participan:</w:t>
      </w:r>
    </w:p>
    <w:p>
      <w:pPr>
        <w:pStyle w:val="ListParagraph"/>
        <w:numPr>
          <w:ilvl w:val="0"/>
          <w:numId w:val="2"/>
        </w:numPr>
        <w:spacing w:after="60"/>
        <w:jc w:val="both"/>
      </w:pPr>
      <w:r>
        <w:rPr>
          <w:b/>
          <w:bCs/>
        </w:rPr>
        <w:t xml:space="preserve">Jugador (titular):</w:t>
      </w:r>
      <w:r>
        <w:t xml:space="preserve"> vendedor, comprador o postor según la operación; puede ser menor de edad (sección 6).</w:t>
      </w:r>
    </w:p>
    <w:p>
      <w:pPr>
        <w:pStyle w:val="ListParagraph"/>
        <w:numPr>
          <w:ilvl w:val="0"/>
          <w:numId w:val="2"/>
        </w:numPr>
        <w:spacing w:after="60"/>
        <w:jc w:val="both"/>
      </w:pPr>
      <w:r>
        <w:rPr>
          <w:b/>
          <w:bCs/>
        </w:rPr>
        <w:t xml:space="preserve">MTG Companion (responsable):</w:t>
      </w:r>
      <w:r>
        <w:t xml:space="preserve"> el equipo que opera la app y el servidor y decide fines y medios del tratamiento.</w:t>
      </w:r>
    </w:p>
    <w:p>
      <w:pPr>
        <w:pStyle w:val="ListParagraph"/>
        <w:numPr>
          <w:ilvl w:val="0"/>
          <w:numId w:val="2"/>
        </w:numPr>
        <w:spacing w:after="60"/>
        <w:jc w:val="both"/>
      </w:pPr>
      <w:r>
        <w:rPr>
          <w:b/>
          <w:bCs/>
        </w:rPr>
        <w:t xml:space="preserve">Administrador del sistema:</w:t>
      </w:r>
      <w:r>
        <w:t xml:space="preserve"> miembro del equipo con acceso a la nube y a sus secretos.</w:t>
      </w:r>
    </w:p>
    <w:p>
      <w:pPr>
        <w:pStyle w:val="ListParagraph"/>
        <w:numPr>
          <w:ilvl w:val="0"/>
          <w:numId w:val="2"/>
        </w:numPr>
        <w:spacing w:after="60"/>
        <w:jc w:val="both"/>
      </w:pPr>
      <w:r>
        <w:rPr>
          <w:b/>
          <w:bCs/>
        </w:rPr>
        <w:t xml:space="preserve">Amazon Web Services (encargado):</w:t>
      </w:r>
      <w:r>
        <w:t xml:space="preserve"> aloja servidor, base de datos, fotos (S3) y secretos.</w:t>
      </w:r>
    </w:p>
    <w:p>
      <w:pPr>
        <w:pStyle w:val="ListParagraph"/>
        <w:numPr>
          <w:ilvl w:val="0"/>
          <w:numId w:val="2"/>
        </w:numPr>
        <w:spacing w:after="60"/>
        <w:jc w:val="both"/>
      </w:pPr>
      <w:r>
        <w:rPr>
          <w:b/>
          <w:bCs/>
        </w:rPr>
        <w:t xml:space="preserve">Proveedor de correo (encargado):</w:t>
      </w:r>
      <w:r>
        <w:t xml:space="preserve"> envía bienvenidas y comprobantes de pago.</w:t>
      </w:r>
    </w:p>
    <w:p>
      <w:pPr>
        <w:pStyle w:val="ListParagraph"/>
        <w:numPr>
          <w:ilvl w:val="0"/>
          <w:numId w:val="2"/>
        </w:numPr>
        <w:spacing w:after="60"/>
        <w:jc w:val="both"/>
      </w:pPr>
      <w:r>
        <w:rPr>
          <w:b/>
          <w:bCs/>
        </w:rPr>
        <w:t xml:space="preserve">MercadoPago (tercero, responsable propio):</w:t>
      </w:r>
      <w:r>
        <w:t xml:space="preserve"> procesa el pago; la tarjeta se ingresa en su plataforma.</w:t>
      </w:r>
    </w:p>
    <w:p>
      <w:pPr>
        <w:pStyle w:val="ListParagraph"/>
        <w:numPr>
          <w:ilvl w:val="0"/>
          <w:numId w:val="2"/>
        </w:numPr>
        <w:spacing w:after="60"/>
        <w:jc w:val="both"/>
      </w:pPr>
      <w:r>
        <w:rPr>
          <w:b/>
          <w:bCs/>
        </w:rPr>
        <w:t xml:space="preserve">Otros jugadores (destinatarios):</w:t>
      </w:r>
      <w:r>
        <w:t xml:space="preserve"> ven nombre visible, cartas publicadas con foto, ofertas y distancia.</w:t>
      </w:r>
    </w:p>
    <w:p>
      <w:pPr>
        <w:pStyle w:val="ListParagraph"/>
        <w:numPr>
          <w:ilvl w:val="0"/>
          <w:numId w:val="2"/>
        </w:numPr>
        <w:spacing w:after="60"/>
        <w:jc w:val="both"/>
      </w:pPr>
      <w:r>
        <w:rPr>
          <w:b/>
          <w:bCs/>
        </w:rPr>
        <w:t xml:space="preserve">Scryfall (API externa de catálogo):</w:t>
      </w:r>
      <w:r>
        <w:t xml:space="preserve"> la app </w:t>
      </w:r>
      <w:r>
        <w:rPr>
          <w:b/>
          <w:bCs/>
        </w:rPr>
        <w:t xml:space="preserve">no se conecta a ella</w:t>
      </w:r>
      <w:r>
        <w:t xml:space="preserve">; el catálogo se importa sin conexión a la base propia, así que no recibe datos ni la IP de los jugadores (el Anexo A la suponía en tiempo real; el código usa una copia local).</w:t>
      </w:r>
    </w:p>
    <w:p>
      <w:pPr>
        <w:spacing w:after="120"/>
        <w:jc w:val="both"/>
      </w:pPr>
      <w:r>
        <w:rPr>
          <w:b/>
          <w:bCs/>
        </w:rPr>
        <w:t xml:space="preserve">Marco normativo.</w:t>
      </w:r>
      <w:r>
        <w:t xml:space="preserve"> Hoy rige la Ley 19.628; la Ley 21.719 (D.O. 13-12-2024) reemplaza buena parte de su texto desde el 1 de diciembre de 2026 (Ley 21.719, artículo primero transitorio). Como la app operará bajo la nueva norma, se analiza con el texto de la Ley 19.628 </w:t>
      </w:r>
      <w:r>
        <w:rPr>
          <w:b/>
          <w:bCs/>
        </w:rPr>
        <w:t xml:space="preserve">modificado por la Ley 21.719</w:t>
      </w:r>
      <w:r>
        <w:t xml:space="preserve">. Salvo que se indique "texto vigente", "Ley 19.628, art. X" se refiere a su texto modificado por la Ley 21.719 (la numeración cambia: el art. 12 de la Ley 19.628 trata del acceso en el texto vigente y del consentimiento en el nuevo).</w:t>
      </w:r>
    </w:p>
    <w:p>
      <w:pPr>
        <w:sectPr>
          <w:footerReference w:type="default" r:id="rId6"/>
          <w:pgSz w:w="11906" w:h="16838" w:orient="portrait"/>
          <w:pgMar w:top="851" w:right="1417" w:bottom="851" w:left="1417" w:header="708" w:footer="708" w:gutter="0"/>
          <w:pgNumType/>
          <w:docGrid w:linePitch="360"/>
        </w:sectPr>
      </w:pPr>
    </w:p>
    <w:p>
      <w:pPr>
        <w:pStyle w:val="Heading1"/>
        <w:keepNext/>
      </w:pPr>
      <w:r>
        <w:t xml:space="preserve">4. Inventario de datos personales</w:t>
      </w:r>
    </w:p>
    <w:p>
      <w:pPr>
        <w:spacing w:after="60"/>
        <w:jc w:val="both"/>
      </w:pPr>
      <w:r>
        <w:t xml:space="preserve">Construido a partir del esquema real de la base de datos, el código de la app y sus integraciones. Las bases de licitud se justifican en la sección 7.</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1350"/>
        <w:gridCol w:w="1950"/>
        <w:gridCol w:w="2050"/>
        <w:gridCol w:w="2200"/>
        <w:gridCol w:w="1750"/>
        <w:gridCol w:w="1670"/>
      </w:tblGrid>
      <w:tr>
        <w:trPr>
          <w:cantSplit/>
          <w:tblHeader/>
        </w:trPr>
        <w:tc>
          <w:tcPr>
            <w:tcW w:type="dxa" w:w="17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Categoría de dato</w:t>
            </w:r>
          </w:p>
        </w:tc>
        <w:tc>
          <w:tcPr>
            <w:tcW w:type="dxa" w:w="18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Dato específico</w:t>
            </w:r>
          </w:p>
        </w:tc>
        <w:tc>
          <w:tcPr>
            <w:tcW w:type="dxa" w:w="13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Fuente</w:t>
            </w:r>
          </w:p>
        </w:tc>
        <w:tc>
          <w:tcPr>
            <w:tcW w:type="dxa" w:w="19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Ubicación de almacenamiento</w:t>
            </w:r>
          </w:p>
        </w:tc>
        <w:tc>
          <w:tcPr>
            <w:tcW w:type="dxa" w:w="20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Finalidad</w:t>
            </w:r>
          </w:p>
        </w:tc>
        <w:tc>
          <w:tcPr>
            <w:tcW w:type="dxa" w:w="22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Base de licitud</w:t>
            </w:r>
          </w:p>
        </w:tc>
        <w:tc>
          <w:tcPr>
            <w:tcW w:type="dxa" w:w="17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Con quién se comparte</w:t>
            </w:r>
          </w:p>
        </w:tc>
        <w:tc>
          <w:tcPr>
            <w:tcW w:type="dxa" w:w="167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Plazo de conservación</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Identificación</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Correo y nombre visible</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Registro</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users (PostgreSQL)</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Cuenta, login, correos; identificarse ante la contraparte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(Ley 19.628, art. 13 c)</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Email: proveedor de correo, AWS. Nombre: jugadores</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Vigencia de la cuenta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Credenciales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Contraseña y tokens de sesión (como hash)</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Registro y login</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users, refresh_tokens; teléfono</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Autenticar y mantener la sesión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(Ley 19.628, art. 13 c)</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comparte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Cuenta (*); tokens: 15 min / 30 días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Credenciales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Secreto 2FA, cifrado</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Servidor, al activar 2FA</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user_settings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Verificar el segundo factor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Consentimiento (Ley 19.628, art. 12)</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comparte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Hasta desactivar 2FA (se borra)</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Preferencias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Idioma, tema, aviso por correo (aún sin efecto)</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Usuario</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user_settings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Personalizar la app</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(Ley 19.628, art. 13 c)</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comparte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Vigencia de la cuenta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Geolocalización</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Ubicación (cifrada) de quien abre el Bazaar con sesión</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GPS, con permiso</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user_settings; la de búsqueda no se guarda</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Distancia a cada vendedor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Consentimiento (Ley 19.628, arts. 12 y 16 sexies)</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solo se muestra la distancia</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Hasta revocar o 30 días sin uso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Imagen</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Fotogramas del escáner</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Cámara</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Memoria del teléfono</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Identificar la carta (IA local)</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aplica: el responsable no los recolecta (sección 7)</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comparte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conserva</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Imagen</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 para publicar</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Cámara (foto manual)</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Teléfono (temporal); S3 al publicar</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Mostrar el estado de la carta</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(Ley 19.628, art. 13 c)</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Compradores (enlace temporal); AWS</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Teléfono: temporal; S3: con la publicación</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Patrimonio</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Colección, mazos y ofertas</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Usuario e IA local</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cards, decks, offers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Organizar, publicar y ofertar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(Ley 19.628, art. 13 c)</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Publicadas: visibles; ofertas: vendedor</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Cuenta o publicación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Financiero</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Transacciones y referencia de pago</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Servidor; MercadoPago</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transactions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Registrar compraventa y pago</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y obligación legal (**) (Ley 19.628, art. 13 c y b; DL 830)</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Contraparte; MercadoPago (id, título, monto); correo</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MercadoPago: 6 años (*)(**); efectivo: cuenta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Financiero</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Datos de tarjeta</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MercadoPago</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Solo MercadoPago</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Pagar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del usuario con MercadoPago</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MercadoPago (responsable propio)</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guardan</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Beneficios</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Cupones</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Ruleta de premios</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coupons</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Promociones</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Contrato (Ley 19.628, art. 13 c)</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comparte</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Hasta vencer o, si se canjeó, como la transacción (*)</w:t>
            </w:r>
          </w:p>
        </w:tc>
      </w:tr>
      <w:tr>
        <w:trPr>
          <w:cantSplit w:val="off"/>
        </w:trPr>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Técnico</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Dirección IP</w:t>
            </w:r>
          </w:p>
        </w:tc>
        <w:tc>
          <w:tcPr>
            <w:tcW w:type="dxa" w:w="13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Conexión</w:t>
            </w:r>
          </w:p>
        </w:tc>
        <w:tc>
          <w:tcPr>
            <w:tcW w:type="dxa" w:w="1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registra</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Entregar el servicio</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Interés legítimo (Ley 19.628, art. 13 d; sección 7)</w:t>
            </w:r>
          </w:p>
        </w:tc>
        <w:tc>
          <w:tcPr>
            <w:tcW w:type="dxa" w:w="1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AWS (infraestructura)</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se conserva</w:t>
            </w:r>
          </w:p>
        </w:tc>
      </w:tr>
    </w:tbl>
    <w:p>
      <w:pPr>
        <w:spacing w:after="160" w:before="60"/>
        <w:jc w:val="left"/>
      </w:pPr>
      <w:r>
        <w:rPr>
          <w:i/>
          <w:iCs/>
          <w:sz w:val="22"/>
          <w:szCs w:val="22"/>
        </w:rPr>
        <w:t xml:space="preserve">(*) Política del grupo que el sistema </w:t>
      </w:r>
      <w:r>
        <w:rPr>
          <w:b/>
          <w:bCs/>
          <w:i/>
          <w:iCs/>
          <w:sz w:val="22"/>
          <w:szCs w:val="22"/>
        </w:rPr>
        <w:t xml:space="preserve">aún no aplica</w:t>
      </w:r>
      <w:r>
        <w:rPr>
          <w:i/>
          <w:iCs/>
          <w:sz w:val="22"/>
          <w:szCs w:val="22"/>
        </w:rPr>
        <w:t xml:space="preserve">: hoy se conserva indefinidamente (sección 8). (**) A confirmar (sección 7, F4).</w:t>
      </w:r>
    </w:p>
    <w:p>
      <w:pPr>
        <w:pStyle w:val="Heading1"/>
        <w:keepNext/>
      </w:pPr>
      <w:r>
        <w:t xml:space="preserve">5. Mapa de flujos de datos</w:t>
      </w:r>
    </w:p>
    <w:p>
      <w:pPr>
        <w:spacing w:after="0"/>
        <w:jc w:val="both"/>
      </w:pPr>
      <w:r>
        <w:t xml:space="preserve">Cuatro flujos principales: dónde nace cada dato, qué sistema lo procesa y dónde termina. La tabla detalla cada transformación y la Figura 1 los muestra en conjunto.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00"/>
        <w:gridCol w:w="2700"/>
        <w:gridCol w:w="5070"/>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Flujo</w:t>
            </w:r>
          </w:p>
        </w:tc>
        <w:tc>
          <w:tcPr>
            <w:tcW w:type="dxa" w:w="23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Origen</w:t>
            </w:r>
          </w:p>
        </w:tc>
        <w:tc>
          <w:tcPr>
            <w:tcW w:type="dxa" w:w="26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Actor / sistema</w:t>
            </w:r>
          </w:p>
        </w:tc>
        <w:tc>
          <w:tcPr>
            <w:tcW w:type="dxa" w:w="27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Destino</w:t>
            </w:r>
          </w:p>
        </w:tc>
        <w:tc>
          <w:tcPr>
            <w:tcW w:type="dxa" w:w="507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Transformación</w:t>
            </w:r>
          </w:p>
        </w:tc>
      </w:tr>
      <w:tr>
        <w:trPr>
          <w:cantSplit w:val="off"/>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F1</w:t>
            </w:r>
            <w:r>
              <w:rPr>
                <w:sz w:val="22"/>
                <w:szCs w:val="22"/>
              </w:rPr>
              <w:t xml:space="preserve"> Registro y autenticación</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Formulario de registro / login</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 (usuarios y autenticación)</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PostgreSQL (users, user_settings, refresh_tokens); proveedor de correo</w:t>
            </w:r>
          </w:p>
        </w:tc>
        <w:tc>
          <w:tcPr>
            <w:tcW w:type="dxa" w:w="50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Contraseña → hash bcrypt; secreto 2FA → AES-256-GCM; tokens firmados (HMAC) y renovación como hash SHA-256; email → bienvenida.</w:t>
            </w:r>
          </w:p>
        </w:tc>
      </w:tr>
      <w:tr>
        <w:trPr>
          <w:cantSplit w:val="off"/>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F2</w:t>
            </w:r>
            <w:r>
              <w:rPr>
                <w:sz w:val="22"/>
                <w:szCs w:val="22"/>
              </w:rPr>
              <w:t xml:space="preserve"> Escaneo y publicación</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Cámara del teléfono</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IA en el teléfono; luego backend</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Teléfono; al publicar: PostgreSQL (cards) y S3</w:t>
            </w:r>
          </w:p>
        </w:tc>
        <w:tc>
          <w:tcPr>
            <w:tcW w:type="dxa" w:w="50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Fotogramas: se procesan y descartan en memoria. Foto manual: archivo temporal; al publicar sube a un bucket privado con enlace firmado temporal.</w:t>
            </w:r>
          </w:p>
        </w:tc>
      </w:tr>
      <w:tr>
        <w:trPr>
          <w:cantSplit w:val="off"/>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F3</w:t>
            </w:r>
            <w:r>
              <w:rPr>
                <w:sz w:val="22"/>
                <w:szCs w:val="22"/>
              </w:rPr>
              <w:t xml:space="preserve"> Búsqueda con ubicación</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GPS del teléfono, con permiso</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 (usuarios y cartas)</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PostgreSQL (user_settings); a otros, solo la distancia</w:t>
            </w:r>
          </w:p>
        </w:tc>
        <w:tc>
          <w:tcPr>
            <w:tcW w:type="dxa" w:w="50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La ubicación de todo jugador con sesión que abre el Bazaar se cifra al guardarla; en una búsqueda se descifra en memoria para calcular la distancia y la respuesta lleva solo km.</w:t>
            </w:r>
          </w:p>
        </w:tc>
      </w:tr>
      <w:tr>
        <w:trPr>
          <w:cantSplit w:val="off"/>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F4</w:t>
            </w:r>
            <w:r>
              <w:rPr>
                <w:sz w:val="22"/>
                <w:szCs w:val="22"/>
              </w:rPr>
              <w:t xml:space="preserve"> Compraventa y pago</w:t>
            </w:r>
          </w:p>
        </w:tc>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Compra u oferta del jugador</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 (transacciones, pagos) y MercadoPago</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PostgreSQL (transactions); MercadoPago; correo; contraparte</w:t>
            </w:r>
          </w:p>
        </w:tc>
        <w:tc>
          <w:tcPr>
            <w:tcW w:type="dxa" w:w="50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 MercadoPago: id, título y monto; la tarjeta queda en MercadoPago (se guarda solo la referencia). Aviso de pago con firma HMAC; comprobante a ambas partes; entrega con QR firmado (3 min).</w:t>
            </w:r>
          </w:p>
        </w:tc>
      </w:tr>
    </w:tbl>
    <w:p>
      <w:pPr>
        <w:jc w:val="center"/>
      </w:pPr>
      <w:r>
        <w:drawing>
          <wp:inline distT="0" distB="0" distL="0" distR="0">
            <wp:extent cx="7429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0" cy="4552950"/>
                    </a:xfrm>
                    <a:prstGeom prst="rect">
                      <a:avLst/>
                    </a:prstGeom>
                  </pic:spPr>
                </pic:pic>
              </a:graphicData>
            </a:graphic>
          </wp:inline>
        </w:drawing>
      </w:r>
    </w:p>
    <w:p>
      <w:pPr>
        <w:spacing w:after="160" w:before="60"/>
        <w:jc w:val="left"/>
      </w:pPr>
      <w:r>
        <w:rPr>
          <w:i/>
          <w:iCs/>
          <w:sz w:val="22"/>
          <w:szCs w:val="22"/>
        </w:rPr>
        <w:t xml:space="preserve">Figura 1. Mapa de flujos de datos personales de MTG Companion (F1 a F4).</w:t>
      </w:r>
    </w:p>
    <w:p>
      <w:pPr>
        <w:spacing w:after="60" w:before="80"/>
        <w:jc w:val="both"/>
      </w:pPr>
      <w:r>
        <w:t xml:space="preserve">Scryfall no participa en estos flujos: el catálogo de cartas se importa sin conexión y no lleva datos de jugadores (ver Introducción).</w:t>
      </w:r>
    </w:p>
    <w:p>
      <w:pPr>
        <w:pStyle w:val="Heading1"/>
        <w:keepNext/>
      </w:pPr>
      <w:r>
        <w:t xml:space="preserve">6. Clasificación por sensibilidad</w:t>
      </w:r>
    </w:p>
    <w:p>
      <w:pPr>
        <w:spacing w:after="120"/>
        <w:jc w:val="both"/>
      </w:pPr>
      <w:r>
        <w:rPr>
          <w:b/>
          <w:bCs/>
        </w:rPr>
        <w:t xml:space="preserve">Dato personal:</w:t>
      </w:r>
      <w:r>
        <w:t xml:space="preserve"> información vinculada a una persona identificada o identificable (Ley 19.628, art. 2 letra f). </w:t>
      </w:r>
      <w:r>
        <w:rPr>
          <w:b/>
          <w:bCs/>
        </w:rPr>
        <w:t xml:space="preserve">Sensible:</w:t>
      </w:r>
      <w:r>
        <w:t xml:space="preserve"> la que revela, entre otros, situación socioeconómica, salud o datos biométricos (Ley 19.628, art. 2 letra g). </w:t>
      </w:r>
      <w:r>
        <w:rPr>
          <w:b/>
          <w:bCs/>
        </w:rPr>
        <w:t xml:space="preserve">Categorías especiales:</w:t>
      </w:r>
      <w:r>
        <w:t xml:space="preserve"> biométricos, menores y geolocalización (Ley 19.628, arts. 16 ter, 16 quáter y 16 sexies).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8970"/>
      </w:tblGrid>
      <w:tr>
        <w:trPr>
          <w:cantSplit/>
          <w:tblHeader/>
        </w:trPr>
        <w:tc>
          <w:tcPr>
            <w:tcW w:type="dxa" w:w="31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Dato</w:t>
            </w:r>
          </w:p>
        </w:tc>
        <w:tc>
          <w:tcPr>
            <w:tcW w:type="dxa" w:w="25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Clasificación</w:t>
            </w:r>
          </w:p>
        </w:tc>
        <w:tc>
          <w:tcPr>
            <w:tcW w:type="dxa" w:w="897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Justificación</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Correo y nombre visible</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Identifican al titular (Ley 19.628, art. 2 f); no revelan su intimidad.</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Contraseña, secreto 2FA, tokens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 (crítico)</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 están en la Ley 19.628, art. 2 g, pero permiten suplantar al jugador: máxima protección (Ley 19.628, art. 14 quinquies).</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Preferencias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Vinculadas a la cuenta; bajo riesgo.</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Ubicación de los jugadores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Categoría especial: geolocalización</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Exige informar tipo, finalidad, duración y destinatarios (Ley 19.628, art. 16 sexies); permite inferir domicilio y hábitos.</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Fotogramas y fotos para publicar</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 (incidental); </w:t>
            </w:r>
            <w:r>
              <w:rPr>
                <w:b/>
                <w:bCs/>
                <w:sz w:val="22"/>
                <w:szCs w:val="22"/>
              </w:rPr>
              <w:t xml:space="preserve">no biométrico</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Pueden captar manos, rostros o el hogar, pero no hay tratamiento que identifique a la persona (Ley 19.628, art. 16 ter): la IA solo reconoce cartas.</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Colección, ofertas, transacciones, cupones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 </w:t>
            </w:r>
            <w:r>
              <w:rPr>
                <w:b/>
                <w:bCs/>
                <w:sz w:val="22"/>
                <w:szCs w:val="22"/>
              </w:rPr>
              <w:t xml:space="preserve">riesgo de sensible</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Sumados, el valor de la colección y las compras podrían revelar la situación socioeconómica (Ley 19.628, art. 2 g); no se perfilan.</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Tarjeta y referencia de pago</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 (financiero)</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La tarjeta solo la ve MercadoPago; la referencia se vincula a la transacción de un jugador (Ley 19.628, art. 2 f), pero no sirve fuera de MercadoPago.</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Dirección IP</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Personal</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Identifica indirectamente al titular (Ley 19.628, art. 2 f); la app no la registra.</w:t>
            </w:r>
          </w:p>
        </w:tc>
      </w:tr>
      <w:tr>
        <w:trPr>
          <w:cantSplit/>
        </w:trPr>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Datos de un menor de 18 años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Categoría especial: menores</w:t>
            </w:r>
          </w:p>
        </w:tc>
        <w:tc>
          <w:tcPr>
            <w:tcW w:type="dxa" w:w="897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Interés superior del menor y, bajo 14 años, consentimiento de los padres (Ley 19.628, art. 16 quáter); la app no pregunta la edad.</w:t>
            </w:r>
          </w:p>
        </w:tc>
      </w:tr>
    </w:tbl>
    <w:p>
      <w:pPr>
        <w:sectPr>
          <w:footerReference w:type="default" r:id="rId7"/>
          <w:pgSz w:w="16838" w:h="11906" w:orient="landscape"/>
          <w:pgMar w:top="851" w:right="1134" w:bottom="851" w:left="1134" w:header="708" w:footer="708" w:gutter="0"/>
          <w:pgNumType/>
          <w:docGrid w:linePitch="360"/>
        </w:sectPr>
      </w:pPr>
    </w:p>
    <w:p>
      <w:pPr>
        <w:pStyle w:val="Heading1"/>
        <w:keepNext/>
      </w:pPr>
      <w:r>
        <w:t xml:space="preserve">7. Finalidad y base de licitud</w:t>
      </w:r>
    </w:p>
    <w:p>
      <w:pPr>
        <w:spacing w:after="120"/>
        <w:jc w:val="both"/>
      </w:pPr>
      <w:r>
        <w:t xml:space="preserve">La Ley 19.628, art. 13, admite tratar datos sin consentimiento por, entre otras, una obligación legal (letra b), un contrato con el titular (letra c) o un interés legítimo (letra d). Se usó </w:t>
      </w:r>
      <w:r>
        <w:rPr>
          <w:b/>
          <w:bCs/>
        </w:rPr>
        <w:t xml:space="preserve">contrato</w:t>
      </w:r>
      <w:r>
        <w:t xml:space="preserve"> cuando el dato es indispensable para el servicio pedido y </w:t>
      </w:r>
      <w:r>
        <w:rPr>
          <w:b/>
          <w:bCs/>
        </w:rPr>
        <w:t xml:space="preserve">consentimiento</w:t>
      </w:r>
      <w:r>
        <w:t xml:space="preserve"> solo para lo opcional, porque la Ley 19.628, art. 12, presume que no es libre el consentimiento exigido para algo que el servicio no necesita. Hoy la autorización debe "constar por escrito" (Ley 19.628 (texto vigente), art. 4); la Ley 19.628, art. 12 (nuevo texto), acepta un medio electrónico o un acto afirmativo inequívoco, como activar el 2FA en la app.</w:t>
      </w:r>
    </w:p>
    <w:p>
      <w:pPr>
        <w:pStyle w:val="Heading2"/>
        <w:keepNext/>
      </w:pPr>
      <w:r>
        <w:t xml:space="preserve">F1 — Registro y autenticación</w:t>
      </w:r>
    </w:p>
    <w:p>
      <w:pPr>
        <w:spacing w:after="120"/>
        <w:jc w:val="both"/>
      </w:pPr>
      <w:r>
        <w:rPr>
          <w:b/>
          <w:bCs/>
        </w:rPr>
        <w:t xml:space="preserve">Finalidad:</w:t>
      </w:r>
      <w:r>
        <w:t xml:space="preserve"> crear y proteger la cuenta. </w:t>
      </w:r>
      <w:r>
        <w:rPr>
          <w:b/>
          <w:bCs/>
        </w:rPr>
        <w:t xml:space="preserve">Base:</w:t>
      </w:r>
      <w:r>
        <w:t xml:space="preserve"> contrato (Ley 19.628, art. 13 c) para email, nombre, contraseña, tokens y correo de bienvenida: sin ellos no existe la cuenta pedida. El </w:t>
      </w:r>
      <w:r>
        <w:rPr>
          <w:b/>
          <w:bCs/>
        </w:rPr>
        <w:t xml:space="preserve">2FA</w:t>
      </w:r>
      <w:r>
        <w:t xml:space="preserve">, en </w:t>
      </w:r>
      <w:r>
        <w:rPr>
          <w:b/>
          <w:bCs/>
        </w:rPr>
        <w:t xml:space="preserve">consentimiento</w:t>
      </w:r>
      <w:r>
        <w:t xml:space="preserve"> (Ley 19.628, art. 12): es opcional, se activa con un acto afirmativo y se revoca desactivándolo, lo que borra el secreto.</w:t>
      </w:r>
    </w:p>
    <w:p>
      <w:pPr>
        <w:pStyle w:val="Heading2"/>
        <w:keepNext/>
      </w:pPr>
      <w:r>
        <w:t xml:space="preserve">F2 — Escaneo y publicación de cartas</w:t>
      </w:r>
    </w:p>
    <w:p>
      <w:pPr>
        <w:spacing w:after="120"/>
        <w:jc w:val="both"/>
      </w:pPr>
      <w:r>
        <w:rPr>
          <w:b/>
          <w:bCs/>
        </w:rPr>
        <w:t xml:space="preserve">Finalidad:</w:t>
      </w:r>
      <w:r>
        <w:t xml:space="preserve"> identificar la carta y, si el jugador quiere, publicarla. </w:t>
      </w:r>
      <w:r>
        <w:rPr>
          <w:b/>
          <w:bCs/>
        </w:rPr>
        <w:t xml:space="preserve">Fotogramas del escáner:</w:t>
      </w:r>
      <w:r>
        <w:t xml:space="preserve"> no hay tratamiento del responsable. Tratar es recolectar, procesar, almacenar, comunicar o usar datos (Ley 19.628, art. 2 o) por decisión del responsable (Ley 19.628, art. 2 n); los fotogramas se procesan en memoria en el teléfono del jugador y se descartan, sin que el responsable los reciba ni guarde. Por eso no se les exige el consentimiento informado que sí se exige a la ubicación, que llega al servidor (F3); el permiso del sistema es un control del jugador sobre su teléfono. Es protección desde el diseño (Ley 19.628, art. 14 quáter) y proporcionalidad (Ley 19.628, art. 3 c). </w:t>
      </w:r>
      <w:r>
        <w:rPr>
          <w:b/>
          <w:bCs/>
        </w:rPr>
        <w:t xml:space="preserve">Foto publicada y datos de la carta:</w:t>
      </w:r>
      <w:r>
        <w:t xml:space="preserve"> </w:t>
      </w:r>
      <w:r>
        <w:rPr>
          <w:b/>
          <w:bCs/>
        </w:rPr>
        <w:t xml:space="preserve">contrato</w:t>
      </w:r>
      <w:r>
        <w:t xml:space="preserve"> (Ley 19.628, art. 13 c): publicar es el servicio pedido y la foto muestra el estado real de la carta.</w:t>
      </w:r>
    </w:p>
    <w:p>
      <w:pPr>
        <w:pStyle w:val="Heading2"/>
        <w:keepNext/>
      </w:pPr>
      <w:r>
        <w:t xml:space="preserve">F3 — Búsqueda con ubicación</w:t>
      </w:r>
    </w:p>
    <w:p>
      <w:pPr>
        <w:spacing w:after="120"/>
        <w:jc w:val="both"/>
      </w:pPr>
      <w:r>
        <w:rPr>
          <w:b/>
          <w:bCs/>
        </w:rPr>
        <w:t xml:space="preserve">Finalidad:</w:t>
      </w:r>
      <w:r>
        <w:t xml:space="preserve"> mostrar a los compradores la distancia a cada vendedor. </w:t>
      </w:r>
      <w:r>
        <w:rPr>
          <w:b/>
          <w:bCs/>
        </w:rPr>
        <w:t xml:space="preserve">Base:</w:t>
      </w:r>
      <w:r>
        <w:t xml:space="preserve"> </w:t>
      </w:r>
      <w:r>
        <w:rPr>
          <w:b/>
          <w:bCs/>
        </w:rPr>
        <w:t xml:space="preserve">consentimiento</w:t>
      </w:r>
      <w:r>
        <w:t xml:space="preserve"> (Ley 19.628, arts. 12 y 16 sexies). No puede ser contrato: la búsqueda funciona sin ubicación y exigirla haría presumir un consentimiento no libre (Ley 19.628, art. 12). Hoy se guarda la ubicación de </w:t>
      </w:r>
      <w:r>
        <w:rPr>
          <w:b/>
          <w:bCs/>
        </w:rPr>
        <w:t xml:space="preserve">todo</w:t>
      </w:r>
      <w:r>
        <w:t xml:space="preserve"> jugador con sesión que abre el Bazaar, aunque solo hace falta la de quienes venden, lo que excede la proporcionalidad (Ley 19.628, art. 3 c); además solo existe el permiso genérico del sistema y no se puede dejar de compartir. Son brechas (sección 8).</w:t>
      </w:r>
    </w:p>
    <w:p>
      <w:pPr>
        <w:pStyle w:val="Heading2"/>
        <w:keepNext/>
      </w:pPr>
      <w:r>
        <w:t xml:space="preserve">F4 — Compraventa y pago</w:t>
      </w:r>
    </w:p>
    <w:p>
      <w:pPr>
        <w:spacing w:after="120"/>
        <w:jc w:val="both"/>
      </w:pPr>
      <w:r>
        <w:rPr>
          <w:b/>
          <w:bCs/>
        </w:rPr>
        <w:t xml:space="preserve">Finalidad:</w:t>
      </w:r>
      <w:r>
        <w:t xml:space="preserve"> ejecutar la compraventa, cobrar y dejar respaldo. </w:t>
      </w:r>
      <w:r>
        <w:rPr>
          <w:b/>
          <w:bCs/>
        </w:rPr>
        <w:t xml:space="preserve">Base:</w:t>
      </w:r>
      <w:r>
        <w:t xml:space="preserve"> </w:t>
      </w:r>
      <w:r>
        <w:rPr>
          <w:b/>
          <w:bCs/>
        </w:rPr>
        <w:t xml:space="preserve">contrato</w:t>
      </w:r>
      <w:r>
        <w:t xml:space="preserve"> (Ley 19.628, art. 13 c) para crear la transacción, enviar a MercadoPago id, título y monto, y mandar el comprobante: son pasos necesarios de la compraventa que el jugador inicia. </w:t>
      </w:r>
      <w:r>
        <w:rPr>
          <w:b/>
          <w:bCs/>
        </w:rPr>
        <w:t xml:space="preserve">Conservación:</w:t>
      </w:r>
      <w:r>
        <w:t xml:space="preserve"> la plataforma no cobra comisión ni es parte de la compraventa, pero en los pagos con MercadoPago </w:t>
      </w:r>
      <w:r>
        <w:rPr>
          <w:b/>
          <w:bCs/>
        </w:rPr>
        <w:t xml:space="preserve">el dinero entra a su cuenta</w:t>
      </w:r>
      <w:r>
        <w:t xml:space="preserve"> y lo recauda por cuenta del vendedor, por lo que queda en su contabilidad, que debe conservarse mientras el SII pueda revisarla (DL 830, art. 17), hasta seis años (DL 830, art. 200). Se propone ese plazo como </w:t>
      </w:r>
      <w:r>
        <w:rPr>
          <w:b/>
          <w:bCs/>
        </w:rPr>
        <w:t xml:space="preserve">obligación legal</w:t>
      </w:r>
      <w:r>
        <w:t xml:space="preserve"> (Ley 19.628, art. 13 b) solo para esos pagos, a confirmar (dudas abiertas). En efectivo la plataforma no recibe dinero: rige solo el contrato. La tarjeta la trata MercadoPago bajo su propio contrato. Al estar el servidor en EE.UU. hay </w:t>
      </w:r>
      <w:r>
        <w:rPr>
          <w:b/>
          <w:bCs/>
        </w:rPr>
        <w:t xml:space="preserve">transferencia internacional</w:t>
      </w:r>
      <w:r>
        <w:t xml:space="preserve">, que exige país adecuado o garantías contractuales con AWS (Ley 19.628, art. 27).</w:t>
      </w:r>
    </w:p>
    <w:p>
      <w:pPr>
        <w:pStyle w:val="Heading2"/>
        <w:keepNext/>
      </w:pPr>
      <w:r>
        <w:t xml:space="preserve">Otros tratamientos (fuera de los cuatro flujos)</w:t>
      </w:r>
    </w:p>
    <w:p>
      <w:pPr>
        <w:spacing w:after="120"/>
        <w:jc w:val="both"/>
      </w:pPr>
      <w:r>
        <w:rPr>
          <w:b/>
          <w:bCs/>
        </w:rPr>
        <w:t xml:space="preserve">Preferencias y cupones:</w:t>
      </w:r>
      <w:r>
        <w:t xml:space="preserve"> </w:t>
      </w:r>
      <w:r>
        <w:rPr>
          <w:b/>
          <w:bCs/>
        </w:rPr>
        <w:t xml:space="preserve">contrato</w:t>
      </w:r>
      <w:r>
        <w:t xml:space="preserve"> (Ley 19.628, art. 13 c): son ajustes y promociones que el propio jugador pide.</w:t>
      </w:r>
    </w:p>
    <w:p>
      <w:pPr>
        <w:spacing w:after="120"/>
        <w:jc w:val="both"/>
      </w:pPr>
      <w:r>
        <w:rPr>
          <w:b/>
          <w:bCs/>
        </w:rPr>
        <w:t xml:space="preserve">Dirección IP:</w:t>
      </w:r>
      <w:r>
        <w:t xml:space="preserve"> </w:t>
      </w:r>
      <w:r>
        <w:rPr>
          <w:b/>
          <w:bCs/>
        </w:rPr>
        <w:t xml:space="preserve">interés legítimo</w:t>
      </w:r>
      <w:r>
        <w:t xml:space="preserve"> (Ley 19.628, art. 13 d), ponderado. El interés (entregar y proteger el servicio) exige la IP y no hay alternativa menos intrusiva; la app no la guarda ni la cruza con la cuenta, y solo AWS la ve como encargado, lo que el jugador espera. Así no prevalece sobre sus derechos, aunque puede exigir ser informado (Ley 19.628, art. 13 d).</w:t>
      </w:r>
    </w:p>
    <w:p>
      <w:pPr>
        <w:pStyle w:val="Heading1"/>
        <w:keepNext/>
      </w:pPr>
      <w:r>
        <w:t xml:space="preserve">8. Conclusiones</w:t>
      </w:r>
    </w:p>
    <w:p>
      <w:pPr>
        <w:spacing w:after="120"/>
        <w:jc w:val="both"/>
      </w:pPr>
      <w:r>
        <w:rPr>
          <w:b/>
          <w:bCs/>
        </w:rPr>
        <w:t xml:space="preserve">Datos más críticos.</w:t>
      </w:r>
      <w:r>
        <w:t xml:space="preserve"> (1) La </w:t>
      </w:r>
      <w:r>
        <w:rPr>
          <w:b/>
          <w:bCs/>
        </w:rPr>
        <w:t xml:space="preserve">geolocalización</w:t>
      </w:r>
      <w:r>
        <w:t xml:space="preserve"> del vendedor, por ser una categoría especial y permitir inferir su domicilio. (2) Las </w:t>
      </w:r>
      <w:r>
        <w:rPr>
          <w:b/>
          <w:bCs/>
        </w:rPr>
        <w:t xml:space="preserve">credenciales</w:t>
      </w:r>
      <w:r>
        <w:t xml:space="preserve"> (contraseña, secreto 2FA, tokens), porque su filtración permite suplantar al jugador. (3) El </w:t>
      </w:r>
      <w:r>
        <w:rPr>
          <w:b/>
          <w:bCs/>
        </w:rPr>
        <w:t xml:space="preserve">historial de transacciones y la colección</w:t>
      </w:r>
      <w:r>
        <w:t xml:space="preserve">, que juntos podrían revelar la situación socioeconómica. (4) Los datos de </w:t>
      </w:r>
      <w:r>
        <w:rPr>
          <w:b/>
          <w:bCs/>
        </w:rPr>
        <w:t xml:space="preserve">posibles menores de edad</w:t>
      </w:r>
      <w:r>
        <w:t xml:space="preserve">.</w:t>
      </w:r>
    </w:p>
    <w:p>
      <w:pPr>
        <w:spacing w:after="120"/>
        <w:jc w:val="both"/>
      </w:pPr>
      <w:r>
        <w:rPr>
          <w:b/>
          <w:bCs/>
        </w:rPr>
        <w:t xml:space="preserve">Medidas ya implementadas (Anexo B).</w:t>
      </w:r>
      <w:r>
        <w:t xml:space="preserve"> Contraseña con bcrypt; tokens de renovación con SHA-256; secreto 2FA y ubicación cifrados con AES-256-GCM (llave fuera de la base de datos); pago tokenizado; sesión, QR y avisos de pago firmados con HMAC; fotos en bucket privado. Esto va más allá de la "debida diligencia" que hoy exige la Ley 19.628 (texto vigente), art. 11, y apunta al deber de medidas de seguridad apropiadas del nuevo texto (Ley 19.628, art. 14 quinquies). Tras la revisión del informe, la API además dejó de exponer el correo de otros usuarios: ahora exige sesión y devuelve solo el nombre visible.</w:t>
      </w:r>
    </w:p>
    <w:p>
      <w:pPr>
        <w:spacing w:after="120"/>
        <w:jc w:val="both"/>
      </w:pPr>
      <w:r>
        <w:rPr>
          <w:b/>
          <w:bCs/>
        </w:rPr>
        <w:t xml:space="preserve">Riesgos y brechas identificadas:</w:t>
      </w:r>
    </w:p>
    <w:p>
      <w:pPr>
        <w:pStyle w:val="ListParagraph"/>
        <w:numPr>
          <w:ilvl w:val="0"/>
          <w:numId w:val="2"/>
        </w:numPr>
        <w:spacing w:after="60"/>
        <w:jc w:val="both"/>
      </w:pPr>
      <w:r>
        <w:rPr>
          <w:b/>
          <w:bCs/>
        </w:rPr>
        <w:t xml:space="preserve">Conservación indefinida:</w:t>
      </w:r>
      <w:r>
        <w:t xml:space="preserve"> sin cierre de cuenta ni limpieza periódica, contra la proporcionalidad (Ley 19.628, art. 3 c) y la supresión (Ley 19.628, art. 7). Propuesta: cierre de cuenta y tarea que aplique los plazos.</w:t>
      </w:r>
    </w:p>
    <w:p>
      <w:pPr>
        <w:pStyle w:val="ListParagraph"/>
        <w:numPr>
          <w:ilvl w:val="0"/>
          <w:numId w:val="2"/>
        </w:numPr>
        <w:spacing w:after="60"/>
        <w:jc w:val="both"/>
      </w:pPr>
      <w:r>
        <w:rPr>
          <w:b/>
          <w:bCs/>
        </w:rPr>
        <w:t xml:space="preserve">Ubicación:</w:t>
      </w:r>
      <w:r>
        <w:t xml:space="preserve"> consentimiento incompleto y se guarda también la de compradores (Ley 19.628, arts. 3 c, 12 y 16 sexies). Propuesta: guardarla solo para vendedores con publicaciones, pantalla explicativa, interruptor que borre las coordenadas y redondeo.</w:t>
      </w:r>
    </w:p>
    <w:p>
      <w:pPr>
        <w:pStyle w:val="ListParagraph"/>
        <w:numPr>
          <w:ilvl w:val="0"/>
          <w:numId w:val="2"/>
        </w:numPr>
        <w:spacing w:after="60"/>
        <w:jc w:val="both"/>
      </w:pPr>
      <w:r>
        <w:rPr>
          <w:b/>
          <w:bCs/>
        </w:rPr>
        <w:t xml:space="preserve">Sin verificación de edad</w:t>
      </w:r>
      <w:r>
        <w:t xml:space="preserve"> (Ley 19.628, art. 16 quáter). Propuesta: pedir la edad y exigir autorización parental bajo 14 años.</w:t>
      </w:r>
    </w:p>
    <w:p>
      <w:pPr>
        <w:pStyle w:val="ListParagraph"/>
        <w:numPr>
          <w:ilvl w:val="0"/>
          <w:numId w:val="2"/>
        </w:numPr>
        <w:spacing w:after="60"/>
        <w:jc w:val="both"/>
      </w:pPr>
      <w:r>
        <w:rPr>
          <w:b/>
          <w:bCs/>
        </w:rPr>
        <w:t xml:space="preserve">Sin política de privacidad</w:t>
      </w:r>
      <w:r>
        <w:t xml:space="preserve"> (Ley 19.628, art. 14 ter); </w:t>
      </w:r>
      <w:r>
        <w:rPr>
          <w:b/>
          <w:bCs/>
        </w:rPr>
        <w:t xml:space="preserve">transferencia a AWS (EE.UU.)</w:t>
      </w:r>
      <w:r>
        <w:t xml:space="preserve"> sin garantías documentadas (Ley 19.628, art. 27); </w:t>
      </w:r>
      <w:r>
        <w:rPr>
          <w:b/>
          <w:bCs/>
        </w:rPr>
        <w:t xml:space="preserve">tránsito sin TLS</w:t>
      </w:r>
      <w:r>
        <w:t xml:space="preserve">; tokens en almacenamiento local.</w:t>
      </w:r>
    </w:p>
    <w:p>
      <w:pPr>
        <w:spacing w:after="120"/>
        <w:jc w:val="both"/>
      </w:pPr>
      <w:r>
        <w:rPr>
          <w:b/>
          <w:bCs/>
        </w:rPr>
        <w:t xml:space="preserve">Dudas abiertas.</w:t>
      </w:r>
      <w:r>
        <w:t xml:space="preserve"> (a) Si el valor agregado de una colección es "situación socioeconómica" (Ley 19.628, art. 2 g). (b) Cómo acreditar la transferencia a AWS sin lista oficial de países adecuados. (c) Si MercadoPago es responsable independiente o encargado. (d) Qué edad mínima exigir. (e) Si, al recaudar por MercadoPago sin comisión, la plataforma es mandataria del vendedor y le aplica el plazo tributario de 6 años.</w:t>
      </w:r>
    </w:p>
    <w:p>
      <w:pPr>
        <w:pStyle w:val="Heading1"/>
        <w:keepNext/>
      </w:pPr>
      <w:r>
        <w:t xml:space="preserve">9. Referencias</w:t>
      </w:r>
    </w:p>
    <w:p>
      <w:pPr>
        <w:pStyle w:val="ListParagraph"/>
        <w:numPr>
          <w:ilvl w:val="0"/>
          <w:numId w:val="2"/>
        </w:numPr>
        <w:spacing w:after="60" w:line="276"/>
        <w:jc w:val="both"/>
      </w:pPr>
      <w:r>
        <w:t xml:space="preserve">Ley 19.628, sobre protección de la vida privada (texto vigente hasta el 30-11-2026), arts. 4 y 11. https://www.bcn.cl/leychile/navegar?idNorma=141599</w:t>
      </w:r>
    </w:p>
    <w:p>
      <w:pPr>
        <w:pStyle w:val="ListParagraph"/>
        <w:numPr>
          <w:ilvl w:val="0"/>
          <w:numId w:val="2"/>
        </w:numPr>
        <w:spacing w:after="60" w:line="276"/>
        <w:jc w:val="both"/>
      </w:pPr>
      <w:r>
        <w:t xml:space="preserve">Ley 21.719 (D.O. 13-12-2024; vigencia 01-12-2026): artículo primero transitorio y, de la Ley 19.628 en su nuevo texto, arts. 2 (f, g, n, o), 3, 7, 12, 13, 14 ter, 14 quáter, 14 quinquies, 16 ter, 16 quáter, 16 sexies y 27. https://www.bcn.cl/leychile/navegar?idNorma=1209272</w:t>
      </w:r>
    </w:p>
    <w:p>
      <w:pPr>
        <w:pStyle w:val="ListParagraph"/>
        <w:numPr>
          <w:ilvl w:val="0"/>
          <w:numId w:val="2"/>
        </w:numPr>
        <w:spacing w:after="60" w:line="276"/>
        <w:jc w:val="both"/>
      </w:pPr>
      <w:r>
        <w:t xml:space="preserve">Decreto Ley 830, Código Tributario, artículos 17 y 200. https://www.bcn.cl/leychile/navegar?idNorma=6374</w:t>
      </w:r>
    </w:p>
    <w:p>
      <w:pPr>
        <w:pStyle w:val="ListParagraph"/>
        <w:numPr>
          <w:ilvl w:val="0"/>
          <w:numId w:val="2"/>
        </w:numPr>
        <w:spacing w:after="60" w:line="276"/>
        <w:jc w:val="both"/>
      </w:pPr>
      <w:r>
        <w:t xml:space="preserve">Repositorio MTG Companion (código, Actividades N°1 y N°2, evidencias): https://github.com/inzenfenix/MTGCompanion_TCG</w:t>
      </w:r>
    </w:p>
    <w:p>
      <w:pPr>
        <w:sectPr>
          <w:footerReference w:type="default" r:id="rId8"/>
          <w:pgSz w:w="11906" w:h="16838" w:orient="portrait"/>
          <w:pgMar w:top="851" w:right="1417" w:bottom="851" w:left="1417" w:header="708" w:footer="708" w:gutter="0"/>
          <w:pgNumType/>
          <w:docGrid w:linePitch="360"/>
        </w:sectPr>
      </w:pPr>
    </w:p>
    <w:p>
      <w:pPr>
        <w:pStyle w:val="Heading1"/>
        <w:keepNext/>
      </w:pPr>
      <w:r>
        <w:t xml:space="preserve">10. Anexos</w:t>
      </w:r>
    </w:p>
    <w:p>
      <w:pPr>
        <w:pStyle w:val="Heading2"/>
        <w:keepNext/>
      </w:pPr>
      <w:r>
        <w:t xml:space="preserve">Anexo A — Actividad N°1: Mapeo de actores, datos y riesgos CIA</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1900"/>
        <w:gridCol w:w="6404"/>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Actor</w:t>
            </w:r>
          </w:p>
        </w:tc>
        <w:tc>
          <w:tcPr>
            <w:tcW w:type="dxa" w:w="31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Dato que maneja</w:t>
            </w:r>
          </w:p>
        </w:tc>
        <w:tc>
          <w:tcPr>
            <w:tcW w:type="dxa" w:w="19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Atributo CIA en riesgo</w:t>
            </w:r>
          </w:p>
        </w:tc>
        <w:tc>
          <w:tcPr>
            <w:tcW w:type="dxa" w:w="6404"/>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Por qué</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 comprador o vendedor</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 del producto capturada por la cámara</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frontend procesa la imagen en el dispositivo, pero puede quedar en caché local, exponiendo el entorno del cliente sin cifrado adicional.</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Credenciales de acceso, correo y contraseña</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frontend envía las credenciales al backend por la red; sin HTTPS forzado en producción, quedan expuestas a interceptación.</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Token de sesión activa</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frontend guarda el token localmente, si un atacante inyecta código malicioso puede robarlo y suplantar al cliente ante el backend.</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Token de renovación de sesión</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backend lo valida y rota en cada uso, pero si el frontend no lo consume bien, un token filtrado sigue vigente por semanas.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Segundo factor de autenticación</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Viaja entre frontend y backend al activarlo, interceptarlo en tránsito compromete la doble verificación de la cuenta en producción.</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Administrador del sistema</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Credenciales de la infraestructura en la nube</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En producción dan acceso a servidores, base de datos y almacenamiento reales; una filtración compromete todo el servicio activo.</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Secretos de configuración de pagos y sesión</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Si se filtran en producción, comprometen pagos reales de clientes y la validez de todas las sesiones activas del sistema.</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 base de datos</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Contraseña de usuario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 guarda hasheada, pero una filtración masiva de la base en producción permite fuerza bruta offline sobre miles de clientes.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 base de datos</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Precio estimado del producto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Lo calcula el frontend con IA embebida y lo envía tal cual; en producción un cliente podría alterar el valor antes de publicarlo.</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 API externa de pagos</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Notificación de pago confirmado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backend valida la firma del proveedor externo, pero un secreto filtrado permitiría falsificar pagos entre clientes reales.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Servicio de almacenamiento de archivos</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Fotos subidas por los clientes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Si el almacenamiento en producción queda mal configurado como público, expone fotos de miles de clientes reales.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Servicio de almacenamiento de archivos</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Fotos subidas por los clientes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Disponibilidad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Una sola instancia sin redundancia deja sin servicio de fotos a todos los clientes durante una caída en producción.</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Base de datos</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Cuentas, productos y transacciones de todos los clientes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Disponibilidad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Sin redundancia ni respaldo automático, una caída en producción interrumpe el servicio completo para todos los clientes.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Proveedor de correo transaccional</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Correos de bienvenida y comprobantes de pago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En producción debe ser un proveedor real y autenticado; uno mal configurado permitiría leer correos de cualquier cliente.</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API externa de catálogo</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Información y precio de referencia del producto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Disponibilidad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frontend depende de ella en tiempo real para identificar productos; si cae en producción, el cliente no puede escanear nada.</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API externa de catálogo</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Resultados devueltos al buscar un producto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Un cambio no controlado del proveedor externo puede alterar resultados de búsqueda sin que backend o frontend lo detecten.</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Modelo de IA embebido en la app</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Resultado de identificación, condición y precio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Corre en el dispositivo del cliente sin firma ni verificación del backend; nada impide alterar el resultado antes de enviarlo.</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Contraparte de una transacción</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Código de verificación de la compraventa</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Si el cliente lo comparte fuera de la app, en producción un tercero podría intentar interferir en una transacción real.</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Probabilidad de premio en promociones internas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Se valida y canjea en el backend, no en el frontend; evita que un cliente en producción se autoasigne un premio no autorizado.</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Backend</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Comunicación interna entre módulos de cuentas, pagos y catálogo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Integridad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Si un módulo interno no valida permisos antes de llamar a otro, un fallo puede exponer o alterar datos de otro cliente.</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Composición completa de su colección o inventario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En producción revela el valor total de los bienes de un cliente real, dato sensible ante robo de cuenta o ingeniería social.</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Cliente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Acceso a la cámara del dispositivo</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Disponibilidad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Si el cliente niega el permiso o el hardware falla, el flujo de escaneo y venta queda inutilizable sin alternativa manual.</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Infraestructura en la nube</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Estado y configuración de los servidores desplegados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Confidencialidad</w:t>
            </w:r>
          </w:p>
        </w:tc>
        <w:tc>
          <w:tcPr>
            <w:tcW w:type="dxa" w:w="64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Contiene metadata de todos los recursos productivos; expuesta, sería un mapa completo para atacar el servicio real.</w:t>
            </w:r>
          </w:p>
        </w:tc>
      </w:tr>
    </w:tbl>
    <w:p>
      <w:pPr>
        <w:pStyle w:val="Heading2"/>
        <w:keepNext/>
        <w:pageBreakBefore/>
      </w:pPr>
      <w:r>
        <w:t xml:space="preserve">Anexo B — Actividad N°2: Cifrado, hashing y tokenización</w:t>
      </w:r>
    </w:p>
    <w:p>
      <w:pPr>
        <w:spacing w:after="120"/>
        <w:jc w:val="both"/>
      </w:pPr>
      <w:r>
        <w:t xml:space="preserve">Cuadro del Item I de la Actividad N°2. La implementación (Item II), con su código fuente y evidencias, está en docs/security/ACTIVIDAD_2.md del repositorio; en la columna Evidencia, 01 a 05 son los archivos de docs/security/evidencia/.</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700"/>
        <w:gridCol w:w="3200"/>
        <w:gridCol w:w="2904"/>
        <w:gridCol w:w="1900"/>
      </w:tblGrid>
      <w:tr>
        <w:trPr>
          <w:cantSplit/>
          <w:tblHeader/>
        </w:trPr>
        <w:tc>
          <w:tcPr>
            <w:tcW w:type="dxa" w:w="21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Campo</w:t>
            </w:r>
          </w:p>
        </w:tc>
        <w:tc>
          <w:tcPr>
            <w:tcW w:type="dxa" w:w="22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Necesidad</w:t>
            </w:r>
          </w:p>
        </w:tc>
        <w:tc>
          <w:tcPr>
            <w:tcW w:type="dxa" w:w="17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Elección</w:t>
            </w:r>
          </w:p>
        </w:tc>
        <w:tc>
          <w:tcPr>
            <w:tcW w:type="dxa" w:w="32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Criterio técnico</w:t>
            </w:r>
          </w:p>
        </w:tc>
        <w:tc>
          <w:tcPr>
            <w:tcW w:type="dxa" w:w="2904"/>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Implementación</w:t>
            </w:r>
          </w:p>
        </w:tc>
        <w:tc>
          <w:tcPr>
            <w:tcW w:type="dxa" w:w="19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top"/>
          </w:tcPr>
          <w:p>
            <w:pPr>
              <w:spacing w:after="0" w:before="0" w:line="360"/>
            </w:pPr>
            <w:r>
              <w:rPr>
                <w:b/>
                <w:bCs/>
                <w:sz w:val="22"/>
                <w:szCs w:val="22"/>
              </w:rPr>
              <w:t xml:space="preserve">Evidencia</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Contraseña</w:t>
            </w:r>
            <w:r>
              <w:rPr>
                <w:sz w:val="22"/>
                <w:szCs w:val="22"/>
              </w:rPr>
              <w:t xml:space="preserve"> (User.passwordHash)</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Solo </w:t>
            </w:r>
            <w:r>
              <w:rPr>
                <w:b/>
                <w:bCs/>
                <w:sz w:val="22"/>
                <w:szCs w:val="22"/>
              </w:rPr>
              <w:t xml:space="preserve">comparar</w:t>
            </w:r>
            <w:r>
              <w:rPr>
                <w:sz w:val="22"/>
                <w:szCs w:val="22"/>
              </w:rPr>
              <w:t xml:space="preserve"> en el login; nunca recuperarla.</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Hashing</w:t>
            </w:r>
            <w:r>
              <w:rPr>
                <w:sz w:val="22"/>
                <w:szCs w:val="22"/>
              </w:rPr>
              <w:t xml:space="preserve"> (bcrypt)</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Dato de baja entropía → hash </w:t>
            </w:r>
            <w:r>
              <w:rPr>
                <w:b/>
                <w:bCs/>
                <w:sz w:val="22"/>
                <w:szCs w:val="22"/>
              </w:rPr>
              <w:t xml:space="preserve">lento y con sal</w:t>
            </w:r>
            <w:r>
              <w:rPr>
                <w:sz w:val="22"/>
                <w:szCs w:val="22"/>
              </w:rPr>
              <w:t xml:space="preserve"> contra fuerza bruta offline si se filtra la BD. Costo 12, sal aleatoria por usuario embebida en el hash.</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bcryptjs en UsersService.register() / validateCredentials() (users.service.ts)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04 paso 2: la BD guarda $2b$12$…</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Token de renovación de sesión</w:t>
            </w:r>
            <w:r>
              <w:rPr>
                <w:sz w:val="22"/>
                <w:szCs w:val="22"/>
              </w:rPr>
              <w:t xml:space="preserve"> (RefreshToken.tokenHash)</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Solo </w:t>
            </w:r>
            <w:r>
              <w:rPr>
                <w:b/>
                <w:bCs/>
                <w:sz w:val="22"/>
                <w:szCs w:val="22"/>
              </w:rPr>
              <w:t xml:space="preserve">verificar</w:t>
            </w:r>
            <w:r>
              <w:rPr>
                <w:sz w:val="22"/>
                <w:szCs w:val="22"/>
              </w:rPr>
              <w:t xml:space="preserve"> que existe y no fue usado.</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Hashing</w:t>
            </w:r>
            <w:r>
              <w:rPr>
                <w:sz w:val="22"/>
                <w:szCs w:val="22"/>
              </w:rPr>
              <w:t xml:space="preserve"> (SHA-256)</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Aleatorio de 512 bits y de un solo uso → alta entropía, basta un hash rápido sin sal. Se rota en cada uso.</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node:crypto en AuthService.hashToken() (auth.service.ts)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02: auth-refresh.e2e-spec (rotación, reuso rechazado)</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Segundo factor</w:t>
            </w:r>
            <w:r>
              <w:rPr>
                <w:sz w:val="22"/>
                <w:szCs w:val="22"/>
              </w:rPr>
              <w:t xml:space="preserve"> (UserSettings.twoFactorSecret, secreto TOTP)</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Recuperar</w:t>
            </w:r>
            <w:r>
              <w:rPr>
                <w:sz w:val="22"/>
                <w:szCs w:val="22"/>
              </w:rPr>
              <w:t xml:space="preserve"> el secreto original para calcular el código de 6 dígitos en cada login.</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Cifrado simétrico</w:t>
            </w:r>
            <w:r>
              <w:rPr>
                <w:sz w:val="22"/>
                <w:szCs w:val="22"/>
              </w:rPr>
              <w:t xml:space="preserve"> (AES-256-GCM)</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Un hash no sirve (TOTP necesita el secreto). GCM = cifrado </w:t>
            </w:r>
            <w:r>
              <w:rPr>
                <w:b/>
                <w:bCs/>
                <w:sz w:val="22"/>
                <w:szCs w:val="22"/>
              </w:rPr>
              <w:t xml:space="preserve">autenticado</w:t>
            </w:r>
            <w:r>
              <w:rPr>
                <w:sz w:val="22"/>
                <w:szCs w:val="22"/>
              </w:rPr>
              <w:t xml:space="preserve">: si alguien altera el valor, el descifrado falla. IV aleatorio de 12 bytes por escritura; prefijo de versión de llave para rotarla.</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FieldEncryptionService usado en PrismaUserRepository (cifra al escribir, descifra al leer)</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01 · 03 · 04 pasos 3–6 y 10</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Ubicación del jugador</w:t>
            </w:r>
            <w:r>
              <w:rPr>
                <w:sz w:val="22"/>
                <w:szCs w:val="22"/>
              </w:rPr>
              <w:t xml:space="preserve"> (UserSettings.lastLat / lastLng)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Recuperar</w:t>
            </w:r>
            <w:r>
              <w:rPr>
                <w:sz w:val="22"/>
                <w:szCs w:val="22"/>
              </w:rPr>
              <w:t xml:space="preserve"> para calcular la distancia al vendedor en la búsqueda. Dato personal (Ley 21.719).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Cifrado simétrico</w:t>
            </w:r>
            <w:r>
              <w:rPr>
                <w:sz w:val="22"/>
                <w:szCs w:val="22"/>
              </w:rPr>
              <w:t xml:space="preserve"> (AES-256-GCM)</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La distancia se calcula en el backend (Node), así que se puede descifrar ahí; las coordenadas nunca vuelven al cliente, solo distanceKm. Misma llave que el 2FA.</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Migración Float → TEXT (migration.sql); cifrado en PrismaUserRepository, descifrado en PrismaCardRepository</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03 antes/después · 04 pasos 7 y 9</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Datos de pago</w:t>
            </w:r>
            <w:r>
              <w:rPr>
                <w:sz w:val="22"/>
                <w:szCs w:val="22"/>
              </w:rPr>
              <w:t xml:space="preserve"> (tarjeta)</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No tocarlos nunca</w:t>
            </w:r>
            <w:r>
              <w:rPr>
                <w:sz w:val="22"/>
                <w:szCs w:val="22"/>
              </w:rPr>
              <w:t xml:space="preserve">; solo referenciar el pago.</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Tokenización</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MercadoPago es la bóveda: la tarjeta se ingresa en su checkout y el sistema solo guarda paymentRef (el token) para consultar el estado.</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SDK oficial mercadopago (mercadopago-payment.provider.ts); Transaction solo tiene paymentRef en schema.prisma</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schema.prisma: ninguna columna de tarjeta; 02 flujos de pago</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Sesión</w:t>
            </w:r>
            <w:r>
              <w:rPr>
                <w:sz w:val="22"/>
                <w:szCs w:val="22"/>
              </w:rPr>
              <w:t xml:space="preserve"> (access token JWT)</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Que </w:t>
            </w:r>
            <w:r>
              <w:rPr>
                <w:b/>
                <w:bCs/>
                <w:sz w:val="22"/>
                <w:szCs w:val="22"/>
              </w:rPr>
              <w:t xml:space="preserve">nadie pueda fabricar</w:t>
            </w:r>
            <w:r>
              <w:rPr>
                <w:sz w:val="22"/>
                <w:szCs w:val="22"/>
              </w:rPr>
              <w:t xml:space="preserve"> un token válido (integridad).</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Firma</w:t>
            </w:r>
            <w:r>
              <w:rPr>
                <w:sz w:val="22"/>
                <w:szCs w:val="22"/>
              </w:rPr>
              <w:t xml:space="preserve"> (HMAC-SHA256)</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Lo importante no es ocultarlo sino verificar quién lo emitió. El secreto de firma ya no tiene valor por defecto en producción.</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@nestjs/jwt HS256; JWT_SECRET desde AWS Secrets Manager; assertProductionSecrets()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04 paso 6 · 05 paso 5</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Código de verificación de la compraventa</w:t>
            </w:r>
            <w:r>
              <w:rPr>
                <w:sz w:val="22"/>
                <w:szCs w:val="22"/>
              </w:rPr>
              <w:t xml:space="preserve"> (QR)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Que el QR apunte a una publicación </w:t>
            </w:r>
            <w:r>
              <w:rPr>
                <w:b/>
                <w:bCs/>
                <w:sz w:val="22"/>
                <w:szCs w:val="22"/>
              </w:rPr>
              <w:t xml:space="preserve">real</w:t>
            </w:r>
            <w:r>
              <w:rPr>
                <w:sz w:val="22"/>
                <w:szCs w:val="22"/>
              </w:rPr>
              <w:t xml:space="preserve"> y no se pueda falsificar.</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Firma</w:t>
            </w:r>
            <w:r>
              <w:rPr>
                <w:sz w:val="22"/>
                <w:szCs w:val="22"/>
              </w:rPr>
              <w:t xml:space="preserve"> (HMAC-SHA256)</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Token firmado con typ: 'listing' y vencimiento de 3 minutos; el backend valida la firma al escanearlo.</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listing-token.ts</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02: listing-token.e2e-spec</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Email y nombre visible</w:t>
            </w:r>
            <w:r>
              <w:rPr>
                <w:sz w:val="22"/>
                <w:szCs w:val="22"/>
              </w:rPr>
              <w:t xml:space="preserve"> (User.email, displayName)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El email se </w:t>
            </w:r>
            <w:r>
              <w:rPr>
                <w:b/>
                <w:bCs/>
                <w:sz w:val="22"/>
                <w:szCs w:val="22"/>
              </w:rPr>
              <w:t xml:space="preserve">busca por igualdad</w:t>
            </w:r>
            <w:r>
              <w:rPr>
                <w:sz w:val="22"/>
                <w:szCs w:val="22"/>
              </w:rPr>
              <w:t xml:space="preserve"> en el login; el nombre se muestra a la contraparte.</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b/>
                <w:bCs/>
                <w:sz w:val="22"/>
                <w:szCs w:val="22"/>
              </w:rPr>
              <w:t xml:space="preserve">Sin cifrado de campo</w:t>
            </w:r>
          </w:p>
        </w:tc>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Cifrar con IV aleatorio impediría buscar por email (@unique); el nombre es público por diseño. Se protegen en tránsito (TLS) y en reposo a nivel de disco.</w:t>
            </w:r>
          </w:p>
        </w:tc>
        <w:tc>
          <w:tcPr>
            <w:tcW w:type="dxa" w:w="290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before="0" w:line="360"/>
            </w:pPr>
            <w:r>
              <w:rPr>
                <w:sz w:val="22"/>
                <w:szCs w:val="22"/>
              </w:rPr>
              <w:t xml:space="preserve">Justificación en CIFRADO_CAMPOS.md §2</w:t>
            </w:r>
          </w:p>
        </w:tc>
      </w:tr>
    </w:tbl>
    <w:sectPr>
      <w:footerReference w:type="default" r:id="rId9"/>
      <w:pgSz w:w="16838" w:h="11906" w:orient="landscape"/>
      <w:pgMar w:top="851" w:right="1134" w:bottom="851"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cfd33b0425703596cdbc9d15c04b1a6a1ff6f47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 1 — Inventario y Clasificación de Datos Personales</dc:title>
  <dc:creator>Grupo MTG Companion</dc:creator>
  <cp:lastModifiedBy>Un-named</cp:lastModifiedBy>
  <cp:revision>1</cp:revision>
  <dcterms:created xsi:type="dcterms:W3CDTF">2026-10-02T16:07:51.466Z</dcterms:created>
  <dcterms:modified xsi:type="dcterms:W3CDTF">2026-10-02T16:07:51.466Z</dcterms:modified>
</cp:coreProperties>
</file>

<file path=docProps/custom.xml><?xml version="1.0" encoding="utf-8"?>
<Properties xmlns="http://schemas.openxmlformats.org/officeDocument/2006/custom-properties" xmlns:vt="http://schemas.openxmlformats.org/officeDocument/2006/docPropsVTypes"/>
</file>