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ADNOC–Fertiglobe Transaction — One-Page Deal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540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Summary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Transaction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ADNOC acquired OCI Global's 50% + 1 Fertiglobe stake for AED3.20/share, implying ~$3.62bn headline consideration and increasing ownership from 36.2% to 86.2%.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Strategic Rationale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Scaled low-cost MENA nitrogen platform, global export infrastructure, financing / logistics / reliability benefits and long-term ammonia optionality.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Standalone Value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Base ex-ante standalone value: ~AED2.80/share; acquired-stake value: ~$3.165bn.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Price Paid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AED3.20/share; headline consideration: ~$3.620bn; official premium: 8% to undisturbed price.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Value Gap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Strategic-value gap: ~$455m versus base acquired-stake standalone value.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Synergy Logic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Because ADNOC already owned 36.2%, benefits could accrue across 86.2%; required company-wide PV benefit falls from ~$911m to ~$528m.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Returns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Base case approximately breakeven deal NPV; ~7% 5-year IRR and ~1.36x MOIC on the acquired stake analytical framework.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Break-Even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~AED3.19/share purchase price; ~$410/t normalized urea; ~92–93% utilization; ~$52m annual after-tax synergy.</w:t>
            </w:r>
          </w:p>
        </w:tc>
      </w:tr>
    </w:tbl>
    <w:p>
      <w:pPr>
        <w:pStyle w:val="SectionHeader"/>
        <w:pBdr>
          <w:bottom w:val="single" w:sz="6" w:space="1" w:color="1F4E79"/>
        </w:pBdr>
      </w:pPr>
      <w:r>
        <w:t>Conclusion</w:t>
      </w:r>
    </w:p>
    <w:p>
      <w:r>
        <w:rPr>
          <w:sz w:val="16"/>
        </w:rPr>
        <w:t>ADNOC paid above base standalone value, creating a ~$455m strategic-value hurdle. However, ADNOC's pre-existing 36.2% ownership materially improves the economics because control-created value can accrue across 86.2% of Fertiglobe. Moderate recurring operating, financing and commercial benefits can nearly bridge the gap under the base case, while stronger or weaker nitrogen-cycle conditions materially change the result. The transaction should be framed as a conditional strategic underwriting rather than an unambiguously cheap or expensive acquisition.</w:t>
      </w:r>
    </w:p>
    <w:p>
      <w:pPr>
        <w:pStyle w:val="SectionHeader"/>
        <w:pBdr>
          <w:bottom w:val="single" w:sz="6" w:space="1" w:color="1F4E79"/>
        </w:pBdr>
      </w:pPr>
      <w:r>
        <w:t>Principal Risks</w:t>
      </w:r>
    </w:p>
    <w:p>
      <w:r>
        <w:rPr>
          <w:sz w:val="16"/>
        </w:rPr>
        <w:t>Normalized urea/ammonia prices; China exports; Egypt gas availability; Sorfert gas economics; operating reliability; freight/geopolitics; working capital; low-carbon ammonia demand; execution risk.</w:t>
      </w:r>
    </w:p>
    <w:p>
      <w:r>
        <w:rPr>
          <w:i/>
          <w:color w:val="666666"/>
          <w:sz w:val="14"/>
        </w:rPr>
        <w:t>Note: Independent public-information case study. Not live advisory work; no confidential SPA, internal ADNOC forecasts, proprietary earn-out formula or buyer PPA used.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ptos Display" w:hAnsi="Aptos Display"/>
      <w:b/>
      <w:color w:val="17365D"/>
      <w:sz w:val="30"/>
    </w:rPr>
  </w:style>
  <w:style w:type="paragraph" w:customStyle="1" w:styleId="SectionHeader">
    <w:name w:val="SectionHeader"/>
    <w:rPr>
      <w:rFonts w:ascii="Aptos" w:hAnsi="Aptos"/>
      <w:b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