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E79662" w14:textId="38E872C7" w:rsidR="00DA0977" w:rsidRDefault="00000000">
      <w:pPr>
        <w:pStyle w:val="ListNumber"/>
      </w:pPr>
      <w:r>
        <w:t xml:space="preserve">The definition of heterogeneity is inconsistent. Section 2 states </w:t>
      </w:r>
      <w:r w:rsidR="00577601">
        <w:sym w:font="Symbol" w:char="F064"/>
      </w:r>
      <w:r w:rsidR="00577601">
        <w:sym w:font="Symbol" w:char="F06C"/>
      </w:r>
      <w:r>
        <w:t xml:space="preserve"> is in [0, 0.4] and calls 0.4 maximal, but Section 3.2 analyzes 0.45 and 0.49, while the abstract refers to </w:t>
      </w:r>
      <w:r w:rsidR="00577601">
        <w:sym w:font="Symbol" w:char="F064"/>
      </w:r>
      <w:r w:rsidR="00577601">
        <w:sym w:font="Symbol" w:char="F06C"/>
      </w:r>
      <w:r w:rsidR="00577601">
        <w:t xml:space="preserve"> </w:t>
      </w:r>
      <w:r>
        <w:t>approaching 0.5. State the actual parameter domain consistentl</w:t>
      </w:r>
      <w:r w:rsidR="003967F3">
        <w:t>y</w:t>
      </w:r>
      <w:r>
        <w:t>.</w:t>
      </w:r>
    </w:p>
    <w:p w14:paraId="1C80EB1F" w14:textId="7251898E" w:rsidR="00DA0977" w:rsidRDefault="00000000">
      <w:pPr>
        <w:pStyle w:val="ListNumber"/>
      </w:pPr>
      <w:r>
        <w:t>Use L consistently for lattice side length and N = L</w:t>
      </w:r>
      <w:r w:rsidR="00577601" w:rsidRPr="00577601">
        <w:rPr>
          <w:vertAlign w:val="superscript"/>
        </w:rPr>
        <w:t>2</w:t>
      </w:r>
      <w:r w:rsidR="00577601">
        <w:rPr>
          <w:vertAlign w:val="superscript"/>
        </w:rPr>
        <w:t xml:space="preserve"> </w:t>
      </w:r>
      <w:r>
        <w:t xml:space="preserve">for population size. Several figure captions and text passages appear to interchange N and L (for example, Figure 4 states N = 64 while the plotted system labels elsewhere use L). This also matters when discussing “class size,” because </w:t>
      </w:r>
      <w:r w:rsidR="00577601">
        <w:t xml:space="preserve">N = </w:t>
      </w:r>
      <w:r w:rsidR="00577601">
        <w:t>32</w:t>
      </w:r>
      <w:r w:rsidR="00577601" w:rsidRPr="00577601">
        <w:rPr>
          <w:vertAlign w:val="superscript"/>
        </w:rPr>
        <w:t>2</w:t>
      </w:r>
      <w:r w:rsidR="00577601">
        <w:t xml:space="preserve"> </w:t>
      </w:r>
      <w:r>
        <w:t>N = 128</w:t>
      </w:r>
      <w:r w:rsidR="00577601" w:rsidRPr="00577601">
        <w:rPr>
          <w:vertAlign w:val="superscript"/>
        </w:rPr>
        <w:t>2</w:t>
      </w:r>
      <w:r>
        <w:t xml:space="preserve"> </w:t>
      </w:r>
      <w:r w:rsidR="00577601">
        <w:t>are</w:t>
      </w:r>
      <w:r>
        <w:t xml:space="preserve"> not realistic classroom population</w:t>
      </w:r>
      <w:r w:rsidR="00577601">
        <w:t>s</w:t>
      </w:r>
      <w:r w:rsidR="00C671F5">
        <w:t>.</w:t>
      </w:r>
      <w:r>
        <w:t xml:space="preserve"> </w:t>
      </w:r>
    </w:p>
    <w:p w14:paraId="18C8BC9C" w14:textId="77777777" w:rsidR="00DA0977" w:rsidRDefault="00000000">
      <w:pPr>
        <w:pStyle w:val="ListNumber"/>
      </w:pPr>
      <w:r>
        <w:t>The term “steady state” should not be used for the 100-step inactivity criterion. Call it a stopping or censoring rule unless the absorbing state has actually been reached.</w:t>
      </w:r>
    </w:p>
    <w:p w14:paraId="67F876EC" w14:textId="50739891" w:rsidR="00DA0977" w:rsidRDefault="00000000">
      <w:pPr>
        <w:pStyle w:val="ListNumber"/>
      </w:pPr>
      <w:r>
        <w:t xml:space="preserve">Define the random variable </w:t>
      </w:r>
      <w:r w:rsidR="00577601">
        <w:sym w:font="Symbol" w:char="F06D"/>
      </w:r>
      <w:r>
        <w:t xml:space="preserve"> in the algorithm, including its distribution and whether a new variate is drawn for every eligible agent at every time step.</w:t>
      </w:r>
    </w:p>
    <w:p w14:paraId="41F73C29" w14:textId="77777777" w:rsidR="00DA0977" w:rsidRDefault="00000000">
      <w:pPr>
        <w:pStyle w:val="ListNumber"/>
      </w:pPr>
      <w:r>
        <w:t>Explicitly state that learned agents remain learned and that no forgetting, regression, or incorrect learning is permitted. This monotonic absorbing-state assumption should be highlighted as a major modeling limitation.</w:t>
      </w:r>
    </w:p>
    <w:p w14:paraId="5B1609FB" w14:textId="77777777" w:rsidR="00DA0977" w:rsidRDefault="00000000">
      <w:pPr>
        <w:pStyle w:val="ListNumber"/>
      </w:pPr>
      <w:r>
        <w:t>Explain whether the x-axes in Figures 3 and 4 are logarithmic base 2. The use of tick labels 2^0, 2^1, and so forth should be stated in the captions and discussed because it affects visual interpretation of stages and slopes.</w:t>
      </w:r>
    </w:p>
    <w:p w14:paraId="05957B11" w14:textId="17A37FB0" w:rsidR="00DA0977" w:rsidRDefault="00000000">
      <w:pPr>
        <w:pStyle w:val="ListNumber"/>
      </w:pPr>
      <w:r>
        <w:t xml:space="preserve">For Figure 6, provide the fitted equations, standard errors or confidence intervals, R-squared or another suitable fit metric, </w:t>
      </w:r>
      <w:r w:rsidR="0005233A">
        <w:t xml:space="preserve">and </w:t>
      </w:r>
      <w:r>
        <w:t>number of points. Explain how points at f = 1 are handled because normalized gain contains the factor 1/(1-f).</w:t>
      </w:r>
    </w:p>
    <w:p w14:paraId="3475E284" w14:textId="62A0BF96" w:rsidR="00DA0977" w:rsidRDefault="00000000">
      <w:pPr>
        <w:pStyle w:val="ListNumber"/>
      </w:pPr>
      <w:r>
        <w:t xml:space="preserve">The Introduction should state more clearly what is new relative to Bordogna and Albano and to the 2024 conference proceeding. </w:t>
      </w:r>
      <w:r w:rsidR="00B574BC">
        <w:t>I</w:t>
      </w:r>
      <w:r>
        <w:t>dentify whether the novelty lies in heterogeneity, topology comparison, finite-size scaling, return maps, or empirical application.</w:t>
      </w:r>
    </w:p>
    <w:p w14:paraId="61F55E85" w14:textId="451CBD9D" w:rsidR="00DA0977" w:rsidRDefault="00000000" w:rsidP="00B574BC">
      <w:pPr>
        <w:pStyle w:val="ListNumber"/>
      </w:pPr>
      <w:r>
        <w:t xml:space="preserve">Add formal Data Availability and Code Availability statements. </w:t>
      </w:r>
    </w:p>
    <w:sectPr w:rsidR="00DA0977" w:rsidSect="00034616">
      <w:headerReference w:type="default" r:id="rId8"/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35DF8D" w14:textId="77777777" w:rsidR="002E6E5C" w:rsidRDefault="002E6E5C">
      <w:pPr>
        <w:spacing w:after="0" w:line="240" w:lineRule="auto"/>
      </w:pPr>
      <w:r>
        <w:separator/>
      </w:r>
    </w:p>
  </w:endnote>
  <w:endnote w:type="continuationSeparator" w:id="0">
    <w:p w14:paraId="4DBEB55B" w14:textId="77777777" w:rsidR="002E6E5C" w:rsidRDefault="002E6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12D6AF" w14:textId="77777777" w:rsidR="00DA0977" w:rsidRDefault="00000000">
    <w:pPr>
      <w:pStyle w:val="Footer"/>
      <w:jc w:val="center"/>
    </w:pPr>
    <w:r>
      <w:rPr>
        <w:rFonts w:ascii="Arial" w:hAnsi="Arial"/>
        <w:color w:val="6E6E6E"/>
        <w:sz w:val="16"/>
      </w:rPr>
      <w:fldChar w:fldCharType="begin"/>
    </w:r>
    <w:r>
      <w:rPr>
        <w:rFonts w:ascii="Arial" w:hAnsi="Arial"/>
        <w:color w:val="6E6E6E"/>
        <w:sz w:val="16"/>
      </w:rPr>
      <w:instrText xml:space="preserve"> PAGE </w:instrText>
    </w:r>
    <w:r w:rsidR="003967F3">
      <w:rPr>
        <w:rFonts w:ascii="Arial" w:hAnsi="Arial"/>
        <w:color w:val="6E6E6E"/>
        <w:sz w:val="16"/>
      </w:rPr>
      <w:fldChar w:fldCharType="separate"/>
    </w:r>
    <w:r w:rsidR="003967F3">
      <w:rPr>
        <w:rFonts w:ascii="Arial" w:hAnsi="Arial"/>
        <w:noProof/>
        <w:color w:val="6E6E6E"/>
        <w:sz w:val="16"/>
      </w:rPr>
      <w:t>1</w:t>
    </w:r>
    <w:r>
      <w:rPr>
        <w:rFonts w:ascii="Arial" w:hAnsi="Arial"/>
        <w:color w:val="6E6E6E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929A0F" w14:textId="77777777" w:rsidR="002E6E5C" w:rsidRDefault="002E6E5C">
      <w:pPr>
        <w:spacing w:after="0" w:line="240" w:lineRule="auto"/>
      </w:pPr>
      <w:r>
        <w:separator/>
      </w:r>
    </w:p>
  </w:footnote>
  <w:footnote w:type="continuationSeparator" w:id="0">
    <w:p w14:paraId="3D117ED5" w14:textId="77777777" w:rsidR="002E6E5C" w:rsidRDefault="002E6E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1E5271" w14:textId="69D279E2" w:rsidR="00DA0977" w:rsidRDefault="00DA09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4123463">
    <w:abstractNumId w:val="8"/>
  </w:num>
  <w:num w:numId="2" w16cid:durableId="344865819">
    <w:abstractNumId w:val="6"/>
  </w:num>
  <w:num w:numId="3" w16cid:durableId="1141457914">
    <w:abstractNumId w:val="5"/>
  </w:num>
  <w:num w:numId="4" w16cid:durableId="1748528227">
    <w:abstractNumId w:val="4"/>
  </w:num>
  <w:num w:numId="5" w16cid:durableId="1897231967">
    <w:abstractNumId w:val="7"/>
  </w:num>
  <w:num w:numId="6" w16cid:durableId="980617652">
    <w:abstractNumId w:val="3"/>
  </w:num>
  <w:num w:numId="7" w16cid:durableId="1183783641">
    <w:abstractNumId w:val="2"/>
  </w:num>
  <w:num w:numId="8" w16cid:durableId="1107581546">
    <w:abstractNumId w:val="1"/>
  </w:num>
  <w:num w:numId="9" w16cid:durableId="96970069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33A"/>
    <w:rsid w:val="0006063C"/>
    <w:rsid w:val="0015074B"/>
    <w:rsid w:val="0029639D"/>
    <w:rsid w:val="002E6E5C"/>
    <w:rsid w:val="00326F90"/>
    <w:rsid w:val="003967F3"/>
    <w:rsid w:val="00577601"/>
    <w:rsid w:val="00643F74"/>
    <w:rsid w:val="00AA1D8D"/>
    <w:rsid w:val="00B47730"/>
    <w:rsid w:val="00B574BC"/>
    <w:rsid w:val="00C047F5"/>
    <w:rsid w:val="00C671F5"/>
    <w:rsid w:val="00CB0664"/>
    <w:rsid w:val="00DA09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5A582A"/>
  <w14:defaultImageDpi w14:val="300"/>
  <w15:docId w15:val="{A4E0611E-914A-834B-BD1B-B326835AD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eastAsia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/>
      <w:b/>
      <w:bCs/>
      <w:color w:val="4444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 Title"/>
    <w:pPr>
      <w:spacing w:after="100"/>
      <w:jc w:val="center"/>
    </w:pPr>
    <w:rPr>
      <w:rFonts w:ascii="Arial" w:eastAsia="Arial" w:hAnsi="Arial"/>
      <w:b/>
      <w:color w:val="1F4E79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Referee Report for Physica A</vt:lpstr>
    </vt:vector>
  </TitlesOfParts>
  <Manager/>
  <Company/>
  <LinksUpToDate>false</LinksUpToDate>
  <CharactersWithSpaces>1928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Referee Report for Physica A</dc:title>
  <dc:subject>Review of Learning dynamics as a heterogeneous cellular automaton</dc:subject>
  <dc:creator>Reviewer</dc:creator>
  <cp:keywords>Physica A, referee report, cellular automata, learning dynamics</cp:keywords>
  <dc:description>generated by python-docx</dc:description>
  <cp:lastModifiedBy>Ranzivelle Marianne Roxas Villanueva</cp:lastModifiedBy>
  <cp:revision>21</cp:revision>
  <dcterms:created xsi:type="dcterms:W3CDTF">2026-07-21T15:14:00Z</dcterms:created>
  <dcterms:modified xsi:type="dcterms:W3CDTF">2026-07-21T15:18:00Z</dcterms:modified>
  <cp:category/>
</cp:coreProperties>
</file>