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INC-0003</w:t>
      </w:r>
    </w:p>
    <w:p>
      <w:r>
        <w:t>Date: 2024-10-11</w:t>
      </w:r>
    </w:p>
    <w:p>
      <w:r>
        <w:t>Month: October 2024</w:t>
      </w:r>
    </w:p>
    <w:p>
      <w:r>
        <w:t>Severity: SEV2</w:t>
      </w:r>
    </w:p>
    <w:p>
      <w:r>
        <w:t>Duration: 47 minutes</w:t>
      </w:r>
    </w:p>
    <w:p>
      <w:r>
        <w:t>Services affected: rate-limiter, notifications, session-cache</w:t>
      </w:r>
    </w:p>
    <w:p>
      <w:r>
        <w:t>Root cause change: CHG-0004</w:t>
      </w:r>
    </w:p>
    <w:p>
      <w:r>
        <w:t>Customer impact: elevated API latency</w:t>
      </w:r>
    </w:p>
    <w:p>
      <w:pPr>
        <w:pStyle w:val="Heading2"/>
      </w:pPr>
      <w:r>
        <w:t>Summary</w:t>
      </w:r>
    </w:p>
    <w:p>
      <w:r>
        <w:t>On 11 October 2024 customers experienced elevated API latency. The issue originated in rate-limiter after change CHG-0004 was deployed. Engineers rolled back the change.</w:t>
      </w:r>
    </w:p>
    <w:p>
      <w:pPr>
        <w:pStyle w:val="Heading2"/>
      </w:pPr>
      <w:r>
        <w:t>Detection</w:t>
      </w:r>
    </w:p>
    <w:p>
      <w:r>
        <w:t>Alert ConnectionPoolExhausted fired for rate-limiter. The on-call engineer opened INC-0003 and paged the Platform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INC-0003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