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Report INC-0005</w:t>
      </w:r>
    </w:p>
    <w:p>
      <w:r>
        <w:t>Date: 2025-02-26</w:t>
      </w:r>
    </w:p>
    <w:p>
      <w:r>
        <w:t>Month: February 2025</w:t>
      </w:r>
    </w:p>
    <w:p>
      <w:r>
        <w:t>Severity: SEV1</w:t>
      </w:r>
    </w:p>
    <w:p>
      <w:r>
        <w:t>Duration: 12 minutes</w:t>
      </w:r>
    </w:p>
    <w:p>
      <w:r>
        <w:t>Services affected: risk-scoring, sms-relay</w:t>
      </w:r>
    </w:p>
    <w:p>
      <w:r>
        <w:t>Root cause change: CHG-0006</w:t>
      </w:r>
    </w:p>
    <w:p>
      <w:r>
        <w:t>Customer impact: payment processing delays</w:t>
      </w:r>
    </w:p>
    <w:p>
      <w:pPr>
        <w:pStyle w:val="Heading2"/>
      </w:pPr>
      <w:r>
        <w:t>Summary</w:t>
      </w:r>
    </w:p>
    <w:p>
      <w:r>
        <w:t>On 26 February 2025 customers experienced payment processing delays. The issue originated in risk-scoring after change CHG-0006 was deployed. Engineers rolled back the change.</w:t>
      </w:r>
    </w:p>
    <w:p>
      <w:pPr>
        <w:pStyle w:val="Heading2"/>
      </w:pPr>
      <w:r>
        <w:t>Detection</w:t>
      </w:r>
    </w:p>
    <w:p>
      <w:r>
        <w:t>Alert HighLatencyP99 fired for risk-scoring. The on-call engineer opened INC-0005 and paged the Risk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 INC-0005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