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w:t>
      </w:r>
      <w:r w:rsidDel="00000000" w:rsidR="00000000" w:rsidRPr="00000000">
        <w:rPr>
          <w:rFonts w:ascii="Normal" w:cs="Normal" w:eastAsia="Normal" w:hAnsi="Normal"/>
          <w:sz w:val="44"/>
          <w:szCs w:val="44"/>
          <w:rtl w:val="0"/>
        </w:rPr>
        <w:t xml:space="preserve">μερών</w:t>
      </w:r>
      <w:r w:rsidDel="00000000" w:rsidR="00000000" w:rsidRPr="00000000">
        <w:rPr>
          <w:sz w:val="44"/>
          <w:szCs w:val="44"/>
          <w:rtl w:val="0"/>
        </w:rPr>
        <w:t xml:space="preserve">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1b75bc"/>
          <w:sz w:val="32"/>
          <w:szCs w:val="32"/>
          <w:u w:val="none"/>
          <w:shd w:fill="auto" w:val="clear"/>
          <w:vertAlign w:val="baseline"/>
        </w:rPr>
      </w:pPr>
      <w:r w:rsidDel="00000000" w:rsidR="00000000" w:rsidRPr="00000000">
        <w:rPr>
          <w:rFonts w:ascii="Calibri" w:cs="Calibri" w:eastAsia="Calibri" w:hAnsi="Calibri"/>
          <w:b w:val="0"/>
          <w:i w:val="0"/>
          <w:smallCaps w:val="0"/>
          <w:strike w:val="0"/>
          <w:color w:val="1b75bc"/>
          <w:sz w:val="32"/>
          <w:szCs w:val="32"/>
          <w:u w:val="none"/>
          <w:shd w:fill="auto" w:val="clear"/>
          <w:vertAlign w:val="baseline"/>
          <w:rtl w:val="0"/>
        </w:rPr>
        <w:t xml:space="preserve">Σταθμοί Εξυπηρέτησης Οχημάτων</w:t>
      </w:r>
    </w:p>
    <w:p w:rsidR="00000000" w:rsidDel="00000000" w:rsidP="00000000" w:rsidRDefault="00000000" w:rsidRPr="00000000" w14:paraId="00000004">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Κύριος στόχος του συστήματος είναι η διευκόλυνση των σταθμών εξυπηρέτησης οχημάτων (ΣΕΟ) να </w:t>
      </w:r>
      <w:r w:rsidDel="00000000" w:rsidR="00000000" w:rsidRPr="00000000">
        <w:rPr>
          <w:sz w:val="22"/>
          <w:szCs w:val="22"/>
          <w:rtl w:val="0"/>
        </w:rPr>
        <w:t xml:space="preserve">διαχειρίζονται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και να αποθηκεύουν τις πληροφορίες της συναλλαγής (όπως π.χ. τις χρονικές στιγμές κατά τις οποίες έγινε φόρτιση για το συγκεκριμένο όχημα , τη διάρκεια φόρτισης , το κόστος φόρτισης , το είδος πληρωμής κλπ) κάνοντας έτσι ευκολότερη τη συλλογή και ανάλυση δεδομένων που αφορούν τον σταθμό τους (όπως π.χ. την προσφορά και τη ζήτηση για κάθε σταθμό δεδομένης της θέσης του). Ένα ακόμα σημαντικό όφελος για τους ΣΕΟ είναι η δυνατότητα διεξαγωγής ασφαλών , αξιόπιστων και ταχειών συναλλαγών μέσω του διαδικτύου.</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8496b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Οι ΣΕΟ με τη χρήση της εφαρμογής μας αποκτούν την ικανότητα να διαχειρίζονται ποικίλα δεδομένα σχετικά με τις συναλλαγές των πελατών , τα χαρακτηριστικά των σταθμών τους καθώς και των σταθμών των υπόλοιπων ΣΕΟ βοηθώντας με αυτόν τον τρόπο το έργο της εταιρείας και παρέχοντας ένα ισχ</w:t>
      </w:r>
      <w:r w:rsidDel="00000000" w:rsidR="00000000" w:rsidRPr="00000000">
        <w:rPr>
          <w:sz w:val="22"/>
          <w:szCs w:val="22"/>
          <w:rtl w:val="0"/>
        </w:rPr>
        <w:t xml:space="preserve">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ρ</w:t>
      </w:r>
      <w:r w:rsidDel="00000000" w:rsidR="00000000" w:rsidRPr="00000000">
        <w:rPr>
          <w:sz w:val="22"/>
          <w:szCs w:val="22"/>
          <w:rtl w:val="0"/>
        </w:rPr>
        <w:t xml:space="preserve">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έρεισμα στην ανάλυση της </w:t>
      </w:r>
      <w:r w:rsidDel="00000000" w:rsidR="00000000" w:rsidRPr="00000000">
        <w:rPr>
          <w:sz w:val="22"/>
          <w:szCs w:val="22"/>
          <w:rtl w:val="0"/>
        </w:rPr>
        <w:t xml:space="preserve">αγοράς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και του ανταγων</w:t>
      </w:r>
      <w:r w:rsidDel="00000000" w:rsidR="00000000" w:rsidRPr="00000000">
        <w:rPr>
          <w:sz w:val="22"/>
          <w:szCs w:val="22"/>
          <w:rtl w:val="0"/>
        </w:rPr>
        <w:t xml:space="preserve">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σμο</w:t>
      </w:r>
      <w:r w:rsidDel="00000000" w:rsidR="00000000" w:rsidRPr="00000000">
        <w:rPr>
          <w:sz w:val="22"/>
          <w:szCs w:val="22"/>
          <w:rtl w:val="0"/>
        </w:rPr>
        <w:t xml:space="preserve">ύ</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στην εκάστοτε περιοχή.</w:t>
      </w: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0B">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Οι ΣΕΟ θα έχουν τη δυνατότητα μέσω της εφαρμογής να επιτελούν τις παρακάτω διαδικασίες:</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διαχείριση</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(εισαγωγή δεδομένων) σταθμών και σημείων φόρτισης</w:t>
      </w:r>
    </w:p>
    <w:p w:rsidR="00000000" w:rsidDel="00000000" w:rsidP="00000000" w:rsidRDefault="00000000" w:rsidRPr="00000000" w14:paraId="0000000F">
      <w:pPr>
        <w:numPr>
          <w:ilvl w:val="0"/>
          <w:numId w:val="3"/>
        </w:numPr>
        <w:ind w:left="720" w:hanging="360"/>
        <w:rPr>
          <w:i w:val="0"/>
          <w:sz w:val="22"/>
          <w:szCs w:val="22"/>
        </w:rPr>
      </w:pPr>
      <w:r w:rsidDel="00000000" w:rsidR="00000000" w:rsidRPr="00000000">
        <w:rPr>
          <w:b w:val="0"/>
          <w:i w:val="0"/>
          <w:strike w:val="0"/>
          <w:color w:val="000000"/>
          <w:sz w:val="22"/>
          <w:szCs w:val="22"/>
          <w:u w:val="none"/>
          <w:rtl w:val="0"/>
        </w:rPr>
        <w:t xml:space="preserve">διαχείριση τιμολογίων (€/kWh) ανάλογα με τον σταθμό φόρτισης, ώρα, συμμετοχή σε πρόγραμμα κλπ</w:t>
      </w:r>
      <w:r w:rsidDel="00000000" w:rsidR="00000000" w:rsidRPr="00000000">
        <w:rPr>
          <w:rtl w:val="0"/>
        </w:rPr>
      </w:r>
    </w:p>
    <w:p w:rsidR="00000000" w:rsidDel="00000000" w:rsidP="00000000" w:rsidRDefault="00000000" w:rsidRPr="00000000" w14:paraId="00000010">
      <w:pPr>
        <w:numPr>
          <w:ilvl w:val="0"/>
          <w:numId w:val="3"/>
        </w:numPr>
        <w:ind w:left="720" w:hanging="360"/>
        <w:rPr>
          <w:i w:val="0"/>
          <w:sz w:val="22"/>
          <w:szCs w:val="22"/>
        </w:rPr>
      </w:pPr>
      <w:r w:rsidDel="00000000" w:rsidR="00000000" w:rsidRPr="00000000">
        <w:rPr>
          <w:b w:val="0"/>
          <w:i w:val="0"/>
          <w:strike w:val="0"/>
          <w:color w:val="000000"/>
          <w:sz w:val="22"/>
          <w:szCs w:val="22"/>
          <w:u w:val="none"/>
          <w:rtl w:val="0"/>
        </w:rPr>
        <w:t xml:space="preserve">δυνατότητα εμφάνισης των σταθμών σε χάρτη</w:t>
      </w:r>
      <w:r w:rsidDel="00000000" w:rsidR="00000000" w:rsidRPr="00000000">
        <w:rPr>
          <w:rtl w:val="0"/>
        </w:rPr>
      </w:r>
    </w:p>
    <w:p w:rsidR="00000000" w:rsidDel="00000000" w:rsidP="00000000" w:rsidRDefault="00000000" w:rsidRPr="00000000" w14:paraId="00000011">
      <w:pPr>
        <w:numPr>
          <w:ilvl w:val="0"/>
          <w:numId w:val="3"/>
        </w:numPr>
        <w:ind w:left="720" w:hanging="360"/>
        <w:rPr>
          <w:i w:val="0"/>
          <w:sz w:val="22"/>
          <w:szCs w:val="22"/>
        </w:rPr>
      </w:pPr>
      <w:r w:rsidDel="00000000" w:rsidR="00000000" w:rsidRPr="00000000">
        <w:rPr>
          <w:i w:val="0"/>
          <w:sz w:val="22"/>
          <w:szCs w:val="22"/>
          <w:rtl w:val="0"/>
        </w:rPr>
        <w:t xml:space="preserve">ε</w:t>
      </w:r>
      <w:r w:rsidDel="00000000" w:rsidR="00000000" w:rsidRPr="00000000">
        <w:rPr>
          <w:b w:val="0"/>
          <w:i w:val="0"/>
          <w:strike w:val="0"/>
          <w:sz w:val="22"/>
          <w:szCs w:val="22"/>
          <w:u w:val="none"/>
          <w:rtl w:val="0"/>
        </w:rPr>
        <w:t xml:space="preserve">κδοση περιοδικού λογαριασμού ανά όχημα</w:t>
      </w:r>
      <w:r w:rsidDel="00000000" w:rsidR="00000000" w:rsidRPr="00000000">
        <w:rPr>
          <w:rtl w:val="0"/>
        </w:rPr>
      </w:r>
    </w:p>
    <w:p w:rsidR="00000000" w:rsidDel="00000000" w:rsidP="00000000" w:rsidRDefault="00000000" w:rsidRPr="00000000" w14:paraId="00000012">
      <w:pPr>
        <w:numPr>
          <w:ilvl w:val="0"/>
          <w:numId w:val="3"/>
        </w:numPr>
        <w:ind w:left="720" w:hanging="360"/>
        <w:rPr>
          <w:i w:val="0"/>
          <w:sz w:val="22"/>
          <w:szCs w:val="22"/>
        </w:rPr>
      </w:pPr>
      <w:r w:rsidDel="00000000" w:rsidR="00000000" w:rsidRPr="00000000">
        <w:rPr>
          <w:i w:val="0"/>
          <w:sz w:val="22"/>
          <w:szCs w:val="22"/>
          <w:rtl w:val="0"/>
        </w:rPr>
        <w:t xml:space="preserve">κ</w:t>
      </w:r>
      <w:r w:rsidDel="00000000" w:rsidR="00000000" w:rsidRPr="00000000">
        <w:rPr>
          <w:b w:val="0"/>
          <w:i w:val="0"/>
          <w:strike w:val="0"/>
          <w:color w:val="000000"/>
          <w:sz w:val="22"/>
          <w:szCs w:val="22"/>
          <w:u w:val="none"/>
          <w:rtl w:val="0"/>
        </w:rPr>
        <w:t xml:space="preserve">αταγραφή γεγονότων και δεδομένων φόρτισης</w:t>
      </w:r>
      <w:r w:rsidDel="00000000" w:rsidR="00000000" w:rsidRPr="00000000">
        <w:rPr>
          <w:rtl w:val="0"/>
        </w:rPr>
      </w:r>
    </w:p>
    <w:p w:rsidR="00000000" w:rsidDel="00000000" w:rsidP="00000000" w:rsidRDefault="00000000" w:rsidRPr="00000000" w14:paraId="00000013">
      <w:pPr>
        <w:numPr>
          <w:ilvl w:val="0"/>
          <w:numId w:val="3"/>
        </w:numPr>
        <w:ind w:left="720" w:hanging="360"/>
        <w:rPr>
          <w:i w:val="0"/>
          <w:color w:val="000000"/>
          <w:sz w:val="22"/>
          <w:szCs w:val="22"/>
        </w:rPr>
      </w:pPr>
      <w:r w:rsidDel="00000000" w:rsidR="00000000" w:rsidRPr="00000000">
        <w:rPr>
          <w:i w:val="0"/>
          <w:color w:val="000000"/>
          <w:sz w:val="22"/>
          <w:szCs w:val="22"/>
          <w:rtl w:val="0"/>
        </w:rPr>
        <w:t xml:space="preserve">σ</w:t>
      </w:r>
      <w:r w:rsidDel="00000000" w:rsidR="00000000" w:rsidRPr="00000000">
        <w:rPr>
          <w:b w:val="0"/>
          <w:i w:val="0"/>
          <w:strike w:val="0"/>
          <w:color w:val="000000"/>
          <w:sz w:val="22"/>
          <w:szCs w:val="22"/>
          <w:u w:val="none"/>
          <w:rtl w:val="0"/>
        </w:rPr>
        <w:t xml:space="preserve">υλλογή δεδομένων οχήματος σε κάθε φόρτιση.</w:t>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b w:val="0"/>
          <w:strike w:val="0"/>
          <w:u w:val="none"/>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6">
      <w:pPr>
        <w:jc w:val="both"/>
        <w:rPr>
          <w:sz w:val="22"/>
          <w:szCs w:val="22"/>
        </w:rPr>
      </w:pPr>
      <w:r w:rsidDel="00000000" w:rsidR="00000000" w:rsidRPr="00000000">
        <w:rPr>
          <w:color w:val="00000a"/>
          <w:sz w:val="22"/>
          <w:szCs w:val="22"/>
          <w:rtl w:val="0"/>
        </w:rPr>
        <w:t xml:space="preserve">Οι κύριοι δείκτες ποιότητας συνοψίζονται στην υποστήριξη ασφαλών υπηρεσιών με χρήση κατάλληλων πρωτοκόλλων και εφαρμογών και στην παροχή έγκυρων , αξιόπιστων και συνεχώς ανανεούμενων πληροφοριών σχετικά με τις φορτίσεις σε ένα περιβάλλον εύχρηστο και φιλικό προς τον χρήστη.</w:t>
      </w: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Οι απαιτήσεις των ΣΕΟ σχετίζονται κυρίως με τη συλλογή στατιστικών στοιχείων σχετικά με τη λειτουργία και την επισκεψιμότητα και προσβασιμότητα του δικού τους και άλλων σταθμών, τη διεξαγωγή διαδικτυακών συναλλαγών καθώς και την εμφάνιση του καταστήματος τους στον χάρτη με κύριο στόχο την προώθηση της επιχείρησης και τη διεύρυνση του πελατολογίου τους.</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Αρχές του προτεινόμενου συστήματος</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Λειτουργικές αρχές του συστήματος είναι:</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1"/>
          <w:smallCaps w:val="0"/>
          <w:strike w:val="0"/>
          <w:color w:val="8496b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λήψη feedback και αναφορών από τους χρήστες με </w:t>
      </w:r>
      <w:r w:rsidDel="00000000" w:rsidR="00000000" w:rsidRPr="00000000">
        <w:rPr>
          <w:sz w:val="22"/>
          <w:szCs w:val="22"/>
          <w:rtl w:val="0"/>
        </w:rPr>
        <w:t xml:space="preserve">σκοπό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τη βελτίωση της εμπειρίας τους και τη επιδιόρθωση </w:t>
      </w:r>
      <w:r w:rsidDel="00000000" w:rsidR="00000000" w:rsidRPr="00000000">
        <w:rPr>
          <w:sz w:val="22"/>
          <w:szCs w:val="22"/>
          <w:rtl w:val="0"/>
        </w:rPr>
        <w:t xml:space="preserve">τυχόν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προβλημάτων</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εξυπηρέτηση των πελατών</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1"/>
          <w:smallCaps w:val="0"/>
          <w:strike w:val="0"/>
          <w:color w:val="8496b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εξασφάλιση της προστασίας των εταιρικών τους δεδομένων</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δημιουργία ενός περιβάλλοντος φιλικού προς τον χρήστη</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συνεχής διαθεσιμότητα και αποκρισιμότητα</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και η παροχή up-to-date δεδομένων.</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Περιορισμοί στο πλαίσιο του έργου</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 κυριότερος περιορισμός στο πλαίσιο του έργου είναι η ανάγκη για συμβατότητα των μεθόδων πληρωμής (π.χ. PayPal, VISA, MasterCard κλπ) μεταξύ του διαδικτυακού καταστήματος και των ΣΕΟ. Επιπροσθέτως,οι ΣΕΟ έχουν περιορισμένη πρόσβαση στα δεδομένα προς </w:t>
      </w:r>
      <w:r w:rsidDel="00000000" w:rsidR="00000000" w:rsidRPr="00000000">
        <w:rPr>
          <w:sz w:val="22"/>
          <w:szCs w:val="22"/>
          <w:rtl w:val="0"/>
        </w:rPr>
        <w:t xml:space="preserve">αποφυγή</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συγχύσεως των δεδομένων.</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 Παράρτημα: ακρωνύμια και συντομογραφίες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Ν/Α: Not applicable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ΣΕΟ: Σταθμοί Εξυπηρέτησης Οχημάτων </w:t>
      </w:r>
    </w:p>
    <w:p w:rsidR="00000000" w:rsidDel="00000000" w:rsidP="00000000" w:rsidRDefault="00000000" w:rsidRPr="00000000" w14:paraId="00000029">
      <w:pPr>
        <w:rPr/>
      </w:pPr>
      <w:r w:rsidDel="00000000" w:rsidR="00000000" w:rsidRPr="00000000">
        <w:rPr>
          <w:rtl w:val="0"/>
        </w:rPr>
      </w:r>
    </w:p>
    <w:sectPr>
      <w:footerReference r:id="rId7"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rm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color w:val="000000"/>
        <w:sz w:val="20"/>
        <w:szCs w:val="2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bidi w:val="0"/>
      <w:snapToGrid w:val="0"/>
      <w:spacing w:after="0" w:before="120"/>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Heading1">
    <w:name w:val="Heading 1"/>
    <w:basedOn w:val="Normal"/>
    <w:next w:val="Normal"/>
    <w:link w:val="Heading1Char"/>
    <w:uiPriority w:val="9"/>
    <w:qFormat w:val="1"/>
    <w:rsid w:val="004276A5"/>
    <w:pPr>
      <w:keepNext w:val="1"/>
      <w:keepLines w:val="1"/>
      <w:numPr>
        <w:ilvl w:val="0"/>
        <w:numId w:val="1"/>
      </w:numPr>
      <w:spacing w:after="0" w:before="600"/>
      <w:outlineLvl w:val="0"/>
    </w:pPr>
    <w:rPr>
      <w:rFonts w:ascii="Calibri Light" w:cs="" w:eastAsia="" w:hAnsi="Calibri Light"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character" w:styleId="Bullets">
    <w:name w:val="Bullets"/>
    <w:qFormat w:val="1"/>
    <w:rPr>
      <w:rFonts w:ascii="OpenSymbol" w:cs="OpenSymbol" w:eastAsia="OpenSymbol" w:hAnsi="OpenSymbol"/>
    </w:rPr>
  </w:style>
  <w:style w:type="character" w:styleId="ListLabel1">
    <w:name w:val="ListLabel 1"/>
    <w:qFormat w:val="1"/>
    <w:rPr>
      <w:rFonts w:cs="OpenSymbol"/>
      <w:color w:val="000000"/>
      <w:sz w:val="20"/>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color w:val="000000"/>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customStyle="1">
    <w:name w:val="Description"/>
    <w:basedOn w:val="Normal"/>
    <w:qFormat w:val="1"/>
    <w:rsid w:val="00772CA3"/>
    <w:pPr/>
    <w:rPr>
      <w:i w:val="1"/>
      <w:color w:val="8496b0" w:themeColor="text2" w:themeTint="000099"/>
      <w:sz w:val="20"/>
    </w:rPr>
  </w:style>
  <w:style w:type="paragraph" w:styleId="Title">
    <w:name w:val="Title"/>
    <w:basedOn w:val="Normal"/>
    <w:next w:val="Normal"/>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val="1"/>
    <w:rsid w:val="00651715"/>
    <w:pPr>
      <w:tabs>
        <w:tab w:val="center" w:leader="none" w:pos="4680"/>
        <w:tab w:val="right" w:leader="none" w:pos="9360"/>
      </w:tabs>
      <w:spacing w:after="0" w:before="0"/>
    </w:pPr>
    <w:rPr/>
  </w:style>
  <w:style w:type="paragraph" w:styleId="Footer">
    <w:name w:val="Footer"/>
    <w:basedOn w:val="Normal"/>
    <w:link w:val="FooterChar"/>
    <w:uiPriority w:val="99"/>
    <w:unhideWhenUsed w:val="1"/>
    <w:rsid w:val="00651715"/>
    <w:pPr>
      <w:tabs>
        <w:tab w:val="center" w:leader="none" w:pos="4680"/>
        <w:tab w:val="right" w:leader="none" w:pos="9360"/>
      </w:tabs>
      <w:spacing w:after="0" w:before="0"/>
    </w:pPr>
    <w:rPr/>
  </w:style>
  <w:style w:type="paragraph" w:styleId="Subtitle">
    <w:name w:val="Subtitle"/>
    <w:basedOn w:val="Normal"/>
    <w:next w:val="Normal"/>
    <w:link w:val="SubtitleChar"/>
    <w:uiPriority w:val="11"/>
    <w:qFormat w:val="1"/>
    <w:rsid w:val="00A642AE"/>
    <w:pPr>
      <w:spacing w:after="160" w:before="120"/>
    </w:pPr>
    <w:rPr>
      <w:rFonts w:eastAsia="" w:eastAsiaTheme="minorEastAsia"/>
      <w:color w:val="5a5a5a" w:themeColor="text1" w:themeTint="0000A5"/>
      <w:spacing w:val="15"/>
      <w:sz w:val="28"/>
      <w:szCs w:val="22"/>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29Zag81RGwMUMMGiEnFhGuuy1A==">AMUW2mWW+BD22ff4yrPTZ0JuRrHoApnO6BxuuX8qx/JFBTsux/bdR9q+4PS9QulgvACovqmaBU6rWcQCGXrgP7tiVNdWtHxP0KTh++2FxH520wrSQIHhL2N1lG73u8o7zTB8nFbuHBPc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