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Arial" w:cs="Arial" w:eastAsia="Arial" w:hAnsi="Arial"/>
          <w:color w:val="000000"/>
        </w:rPr>
      </w:pPr>
      <w:r w:rsidDel="00000000" w:rsidR="00000000" w:rsidRPr="00000000">
        <w:rPr>
          <w:rFonts w:ascii="Arial" w:cs="Arial" w:eastAsia="Arial" w:hAnsi="Arial"/>
          <w:color w:val="000000"/>
          <w:rtl w:val="0"/>
        </w:rPr>
        <w:t xml:space="preserve">Υπουργείο Περιβάλλοντος και Ενέργειας</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u w:val="none"/>
        </w:rPr>
      </w:pPr>
      <w:r w:rsidDel="00000000" w:rsidR="00000000" w:rsidRPr="00000000">
        <w:rPr>
          <w:rtl w:val="0"/>
        </w:rPr>
        <w:t xml:space="preserve">Εισαγωγή</w:t>
      </w:r>
      <w:r w:rsidDel="00000000" w:rsidR="00000000" w:rsidRPr="00000000">
        <w:rPr>
          <w:rtl w:val="0"/>
        </w:rPr>
      </w:r>
    </w:p>
    <w:p w:rsidR="00000000" w:rsidDel="00000000" w:rsidP="00000000" w:rsidRDefault="00000000" w:rsidRPr="00000000" w14:paraId="00000007">
      <w:pPr>
        <w:pStyle w:val="Heading2"/>
        <w:ind w:left="0" w:firstLine="0"/>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Το Υπουργείο Περιβάλλοντος και Ενέργειας έχει ως στόχο του την επίλυση των αναγκών του πολίτη με σκοπιά μη ζημιογόνα για το περιβάλλον. Στα ευρύτερα πλαίσια της στροφής σε ανανεώσιμες πηγές ενέργειας το υπουργείο ενθαρρύνει την κατανάλωση και την μετακίνηση με ηλεκτρική ενέργεια.</w:t>
      </w:r>
    </w:p>
    <w:p w:rsidR="00000000" w:rsidDel="00000000" w:rsidP="00000000" w:rsidRDefault="00000000" w:rsidRPr="00000000" w14:paraId="00000009">
      <w:pPr>
        <w:pStyle w:val="Heading2"/>
        <w:ind w:left="0" w:firstLine="0"/>
        <w:rPr/>
      </w:pPr>
      <w:bookmarkStart w:colFirst="0" w:colLast="0" w:name="_heading=h.g3byeg3vcc0" w:id="0"/>
      <w:bookmarkEnd w:id="0"/>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2"/>
          <w:szCs w:val="22"/>
          <w:rtl w:val="0"/>
        </w:rPr>
        <w:t xml:space="preserve">Το στρατηγικό σχεδιάγραμμα του υπουργείου περιβάλλοντος και ενέργειας αποσκοπεί τόσο στην εύρυθμη ανάπτυξη του δικτύου ηλεκτροκίνησης όσο και στην ποιοτική ενημέρωση των πολιτών. Απο την μια να δώσει κίνητρα ώστε σχεδιαστικά να ολοκληρωθεί  η εξέλιξη του δικτύου για την κάλυψη των πολιτών. Από την άλλη να δώσει κίνητρα στους ίδιους τους πολίτες και να τους ευαισθητοποιήσει για περιβαλλοντολογικά οφέλη της ηλεκτροκίνησης μέσα από πραγματικού χρόνου μελέτες.  </w:t>
      </w: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u w:val="none"/>
        </w:rPr>
      </w:pPr>
      <w:r w:rsidDel="00000000" w:rsidR="00000000" w:rsidRPr="00000000">
        <w:rPr>
          <w:rtl w:val="0"/>
        </w:rPr>
        <w:t xml:space="preserve"> Αναφορές - πηγές πληροφοριών</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Ν/Α </w:t>
      </w:r>
    </w:p>
    <w:p w:rsidR="00000000" w:rsidDel="00000000" w:rsidP="00000000" w:rsidRDefault="00000000" w:rsidRPr="00000000" w14:paraId="0000000D">
      <w:pPr>
        <w:pStyle w:val="Heading1"/>
        <w:numPr>
          <w:ilvl w:val="0"/>
          <w:numId w:val="1"/>
        </w:numPr>
        <w:ind w:left="720" w:hanging="360"/>
        <w:rPr>
          <w:u w:val="none"/>
        </w:rPr>
      </w:pPr>
      <w:r w:rsidDel="00000000" w:rsidR="00000000" w:rsidRPr="00000000">
        <w:rPr>
          <w:rtl w:val="0"/>
        </w:rPr>
        <w:t xml:space="preserve">Λειτουργικές απαιτήσεις επιχειρησιακού περιβάλλοντος</w:t>
      </w:r>
      <w:r w:rsidDel="00000000" w:rsidR="00000000" w:rsidRPr="00000000">
        <w:rPr>
          <w:rtl w:val="0"/>
        </w:rPr>
      </w:r>
    </w:p>
    <w:p w:rsidR="00000000" w:rsidDel="00000000" w:rsidP="00000000" w:rsidRDefault="00000000" w:rsidRPr="00000000" w14:paraId="0000000E">
      <w:pPr>
        <w:pStyle w:val="Heading2"/>
        <w:ind w:left="0" w:firstLine="0"/>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Δυνατότητα τοποθέτησης διαφημίσεων στην εφαρμογή καθώς και η δυνατότητα αιτήματος καταχώρισης σε συγκεκριμένη υποσελίδα σχετική με πληροφορίες, για το όραμα πρασινης ανάπτυξης του Υπουργείου.</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pStyle w:val="Heading2"/>
        <w:rPr>
          <w:sz w:val="22"/>
          <w:szCs w:val="22"/>
        </w:rPr>
      </w:pPr>
      <w:r w:rsidDel="00000000" w:rsidR="00000000" w:rsidRPr="00000000">
        <w:rPr>
          <w:sz w:val="22"/>
          <w:szCs w:val="22"/>
          <w:rtl w:val="0"/>
        </w:rPr>
        <w:t xml:space="preserve">Η ασφάλεια του συστήματος,</w:t>
      </w:r>
    </w:p>
    <w:p w:rsidR="00000000" w:rsidDel="00000000" w:rsidP="00000000" w:rsidRDefault="00000000" w:rsidRPr="00000000" w14:paraId="00000015">
      <w:pPr>
        <w:rPr>
          <w:sz w:val="22"/>
          <w:szCs w:val="22"/>
        </w:rPr>
      </w:pPr>
      <w:r w:rsidDel="00000000" w:rsidR="00000000" w:rsidRPr="00000000">
        <w:rPr>
          <w:sz w:val="22"/>
          <w:szCs w:val="22"/>
          <w:rtl w:val="0"/>
        </w:rPr>
        <w:t xml:space="preserve">Η εγκυρότητα, σχετική με τις πληροφορίες και τα δεδομένα που παράγονται σε καθημερινή βάση,</w:t>
      </w:r>
    </w:p>
    <w:p w:rsidR="00000000" w:rsidDel="00000000" w:rsidP="00000000" w:rsidRDefault="00000000" w:rsidRPr="00000000" w14:paraId="00000016">
      <w:pPr>
        <w:rPr>
          <w:sz w:val="22"/>
          <w:szCs w:val="22"/>
        </w:rPr>
      </w:pPr>
      <w:r w:rsidDel="00000000" w:rsidR="00000000" w:rsidRPr="00000000">
        <w:rPr>
          <w:sz w:val="22"/>
          <w:szCs w:val="22"/>
          <w:rtl w:val="0"/>
        </w:rPr>
        <w:t xml:space="preserve">Η ποιότητα και η ευχρηστία.</w:t>
      </w: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u w:val="none"/>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color w:val="00000a"/>
          <w:sz w:val="22"/>
          <w:szCs w:val="22"/>
          <w:rtl w:val="0"/>
        </w:rPr>
        <w:t xml:space="preserve">Το υπουργείο περιβάλλοντος και ενέργειας είναι πρωτεύον ενδιαφερόμενος του λογισμικού, μιας και αποτελεί το σημαντικότερο κρατικό φορέα για την ανάλυση και σχεδίαση του ενεργειακού εμπορίου. Πρέπει να διαβάζει τα δεδομένα και να τα χειρίζεται ποιοτικά ώστε να μπορεί να να παράγει στατιστικά και να μπορεί να λαμβάνει καλύτερες αποφάσεις για τη περιβαλλοντολογική του και ενεργειακή του εκστρατεία. Χρειάζεται να υπάρχει επικοινωνία με το διαχειριστή των παρεχόμενων δεδομένων ώστε να επικυρώνονται σύντομα τα αποτελέσματα των παραπάνω δεδομένων. Άλλωστε το υπουργείο περιβάλλοντος και ενέργειας έχει κεντρικό χαρακτήρα. Είναι αρμόδιο τόσο να θέσει το νομικό πλαίσιο όσο και να δώσει περαιτέρω κίνητρα για την ηλεκτροκίνηση. Παράλληλα, χρειάζεται να διαβάζονται με τέτοιο τρόπο τα δεδομένα ώστε να προστατεύονται και να μην παραβιάζονται τα δικαιώματα των προσωπικών δεδομένων των πολιτών.</w:t>
      </w: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rPr>
          <w:u w:val="none"/>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A">
      <w:pPr>
        <w:ind w:left="0" w:firstLine="0"/>
        <w:rPr/>
      </w:pPr>
      <w:r w:rsidDel="00000000" w:rsidR="00000000" w:rsidRPr="00000000">
        <w:rPr>
          <w:rFonts w:ascii="Times" w:cs="Times" w:eastAsia="Times" w:hAnsi="Times"/>
          <w:color w:val="00000a"/>
          <w:rtl w:val="0"/>
        </w:rPr>
        <w:t xml:space="preserve">Το Υπουργείο θα έχει τη δυνατότητα να  υποβάλλει σε αξιολογικούς ελέγχους  ορθότητας τα δεδομένα που λαμβάνει από το σύστημα του συστήματος, ενώ συγχρόνως το Υπουργείο θα έχει τη δυνατότητα να συγκρίνει τα δεδομένα με υπουργικές βάσεις δεδομένων για την επιπρόσθετη αξιολόγηση του συστήματος, και να υποβάλλει αναφορές σε περίπτωση “ανόμοιων” δεδομένων.</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sz w:val="22"/>
          <w:szCs w:val="22"/>
          <w:rtl w:val="0"/>
        </w:rPr>
        <w:t xml:space="preserve">Το υπουργείο περιβάλλοντος και ενέργειας θα παράγει στατιστικά για να προωθήσει το ενδιαφέρον για την προστασία του περιβάλλοντος και θα κατοχυρώσει ένα σαφές πλαίσιο νομικών προδιαγραφών για την προστασία των εμπλεκόμενων. Παράλληλα θα δώσει κίνητρα στους ιδιώτες που χρησιμοποιούν τα ηλεκτροκίνητα μέσα.</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highlight w:val="white"/>
          <w:u w:val="none"/>
        </w:rPr>
      </w:pPr>
      <w:r w:rsidDel="00000000" w:rsidR="00000000" w:rsidRPr="00000000">
        <w:rPr>
          <w:highlight w:val="white"/>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Η ανάπτυξη του έργου έχει ανατεθεί στην ομάδα ΤΛμπες. Το σύστημα θα πρέπει να είναι έτοιμο μέχρι τις 22 Ιανουαρίου του 2021.</w:t>
      </w:r>
    </w:p>
    <w:p w:rsidR="00000000" w:rsidDel="00000000" w:rsidP="00000000" w:rsidRDefault="00000000" w:rsidRPr="00000000" w14:paraId="0000001F">
      <w:pPr>
        <w:pStyle w:val="Heading1"/>
        <w:numPr>
          <w:ilvl w:val="0"/>
          <w:numId w:val="1"/>
        </w:numPr>
        <w:ind w:left="720" w:hanging="360"/>
        <w:rPr>
          <w:u w:val="none"/>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N/A : Not Applicable</w:t>
      </w:r>
    </w:p>
    <w:p w:rsidR="00000000" w:rsidDel="00000000" w:rsidP="00000000" w:rsidRDefault="00000000" w:rsidRPr="00000000" w14:paraId="00000021">
      <w:pPr>
        <w:rPr/>
      </w:pPr>
      <w:r w:rsidDel="00000000" w:rsidR="00000000" w:rsidRPr="00000000">
        <w:rPr>
          <w:rtl w:val="0"/>
        </w:rPr>
      </w:r>
    </w:p>
    <w:sectPr>
      <w:headerReference r:id="rId7" w:type="default"/>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ik6RjWOVMrYtwz8BffIt8fJHw==">AMUW2mUw0rmeMg8VQUS5FyJN+VMlsJQF4FOefdALQN0mz7JbHqWTq2SO89KA4iBgeF8AanpC3Dikg/1GknJjsfp6CTj95IShlVyqatBrlzxqzUGtDxgYpQ0Xvah4J6eOlIV4VDWZj3yn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