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Algoritm de scorare pentru investiția într-un apartament în Cluj-Napoca</w:t>
      </w:r>
    </w:p>
    <w:p>
      <w:pPr/>
      <w:r>
        <w:rPr>
          <w:i/>
        </w:rPr>
        <w:t xml:space="preserve">Randament net din chirie, Potențial de apreciere, Lichiditate la revânzare, Preț de intrare și riscuri. Versiune octombrie 2026.</w:t>
      </w:r>
    </w:p>
    <w:p>
      <w:pPr/>
      <w:r>
        <w:t xml:space="preserve">Algoritmul produce 4 scoruri (1-10), un scor compus pe profil de investitor, reguli eliminatorii și un grad de încredere în date. Pragurile sunt parametri pe care îi recalibrezi trimestrial.</w:t>
      </w:r>
    </w:p>
    <w:p>
      <w:pPr>
        <w:pStyle w:val="Heading2"/>
      </w:pPr>
      <w:r>
        <w:t xml:space="preserve">0. Principii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Normalizare liniară:</w:t>
      </w:r>
      <w:r>
        <w:t xml:space="preserve"> </w:t>
      </w:r>
      <w:r>
        <w:rPr>
          <w:rStyle w:val="CodeChar"/>
        </w:rPr>
        <w:t xml:space="preserve">Lin(x; a, b) = 1 + 9 · clamp((x − a)/(b − a), 0, 1)</w:t>
      </w:r>
      <w:r>
        <w:t xml:space="preserve">, unde </w:t>
      </w:r>
      <w:r>
        <w:rPr>
          <w:rStyle w:val="CodeChar"/>
        </w:rPr>
        <w:t xml:space="preserve">a</w:t>
      </w:r>
      <w:r>
        <w:t xml:space="preserve"> dă scorul 1 și </w:t>
      </w:r>
      <w:r>
        <w:rPr>
          <w:rStyle w:val="CodeChar"/>
        </w:rPr>
        <w:t xml:space="preserve">b</w:t>
      </w:r>
      <w:r>
        <w:t xml:space="preserve"> dă scorul 10. Pentru indicatori „cu cât mai mic, cu atât mai bine” pui a &gt; b.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Pragurile se ancorează în piața reală din Cluj</w:t>
      </w:r>
      <w:r>
        <w:t xml:space="preserve">, ca un apartament mediu să iasă în jur de 5, nu aproape de 1 sau de 10.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Comparabile:</w:t>
      </w:r>
      <w:r>
        <w:t xml:space="preserve"> 8-15 anunțuri, rază 800 m-1 km, același segment (nou/vechi), suprafață ±20%, ultimele 90 de zile.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Riscurile grave plafonează scorul</w:t>
      </w:r>
      <w:r>
        <w:t xml:space="preserve"> și nu se compensează cu puncte la alte capitole.</w:t>
      </w:r>
    </w:p>
    <w:p>
      <w:pPr>
        <w:pStyle w:val="Heading2"/>
      </w:pPr>
      <w:r>
        <w:t xml:space="preserve">1. Repere actuale pentru calibrare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Randament brut:</w:t>
      </w:r>
      <w:r>
        <w:t xml:space="preserve"> conform Storia (iunie 2026), Cluj-Napoca are cel mai mic randament brut dintre cele nouă orașe analizate, 3,9%, față de 6,2% în București.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Chirie și preț:</w:t>
      </w:r>
      <w:r>
        <w:t xml:space="preserve"> chiria medie pentru 2 camere este de 560 €, iar prețul mediu al unui 2 camere depășește 171.500 € (Storia).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Chirii pe tipologii (mai 2026):</w:t>
      </w:r>
      <w:r>
        <w:t xml:space="preserve"> garsonierele 400 €, 2 camere 550 € (în scădere cu 8% față de anul trecut), 3 camere 700 €.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Prețuri:</w:t>
      </w:r>
      <w:r>
        <w:t xml:space="preserve"> media solicitată este de 3.316 €/mp util (Imobiliare.ro, octombrie 2026). În ultimul an, apartamentele noi au crescut cu 5%, iar cele vechi cu 13%.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Fiscalitate pe chirii:</w:t>
      </w:r>
      <w:r>
        <w:t xml:space="preserve"> din venitul brut se scade o cotă forfetară de 20%, iar impozitul este 10% din venitul net, deci 8% din chiria brută. CASS se datorează la un venit cumulat de cel puțin 6 salarii minime (24.300 lei în 2026). Sursele nu sunt unitare, unele menționând 16% pentru anumite venituri, așa că tratează cota ca parametru </w:t>
      </w:r>
      <w:r>
        <w:rPr>
          <w:rStyle w:val="CodeChar"/>
        </w:rPr>
        <w:t xml:space="preserve">τ</w:t>
      </w:r>
      <w:r>
        <w:t xml:space="preserve"> și confirmă-o cu un contabil sau pe site-ul ANAF.</w:t>
      </w:r>
    </w:p>
    <w:p>
      <w:pPr>
        <w:pStyle w:val="Heading2"/>
      </w:pPr>
      <w:r>
        <w:t xml:space="preserve">2. Surse publice de date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38"/>
        <w:gridCol w:w="5521"/>
      </w:tblGrid>
      <w:tr>
        <w:trPr>
          <w:tblHeader/>
        </w:trPr>
        <w:tc>
          <w:tcPr>
            <w:tcW w:w="3838" w:type="dxa"/>
            <w:shd w:val="clear" w:color="auto" w:fill="F2F2F2"/>
          </w:tcPr>
          <w:p>
            <w:pPr/>
            <w:r>
              <w:t xml:space="preserve">Domeniu</w:t>
            </w:r>
          </w:p>
        </w:tc>
        <w:tc>
          <w:tcPr>
            <w:tcW w:w="5521" w:type="dxa"/>
            <w:shd w:val="clear" w:color="auto" w:fill="F2F2F2"/>
          </w:tcPr>
          <w:p>
            <w:pPr/>
            <w:r>
              <w:t xml:space="preserve">Surse</w:t>
            </w:r>
          </w:p>
        </w:tc>
      </w:tr>
      <w:tr>
        <w:tc>
          <w:tcPr>
            <w:tcW w:w="3838" w:type="dxa"/>
          </w:tcPr>
          <w:p>
            <w:pPr/>
            <w:r>
              <w:t xml:space="preserve">Prețuri, chirii, zile pe piață</w:t>
            </w:r>
          </w:p>
        </w:tc>
        <w:tc>
          <w:tcPr>
            <w:tcW w:w="5521" w:type="dxa"/>
          </w:tcPr>
          <w:p>
            <w:pPr/>
            <w:r>
              <w:t xml:space="preserve">Storia, Imobiliare.ro (Indicele), OLX, anunțuri comparabile</w:t>
            </w:r>
          </w:p>
        </w:tc>
      </w:tr>
      <w:tr>
        <w:tc>
          <w:tcPr>
            <w:tcW w:w="3838" w:type="dxa"/>
          </w:tcPr>
          <w:p>
            <w:pPr/>
            <w:r>
              <w:t xml:space="preserve">Macro și demografie</w:t>
            </w:r>
          </w:p>
        </w:tc>
        <w:tc>
          <w:tcPr>
            <w:tcW w:w="5521" w:type="dxa"/>
          </w:tcPr>
          <w:p>
            <w:pPr/>
            <w:r>
              <w:t xml:space="preserve">INS Tempo (populație, salarii, autorizații de construire), BNR (dobânzi, curs, inflație), Eurostat</w:t>
            </w:r>
          </w:p>
        </w:tc>
      </w:tr>
      <w:tr>
        <w:tc>
          <w:tcPr>
            <w:tcW w:w="3838" w:type="dxa"/>
          </w:tcPr>
          <w:p>
            <w:pPr/>
            <w:r>
              <w:t xml:space="preserve">Fiscalitate</w:t>
            </w:r>
          </w:p>
        </w:tc>
        <w:tc>
          <w:tcPr>
            <w:tcW w:w="5521" w:type="dxa"/>
          </w:tcPr>
          <w:p>
            <w:pPr/>
            <w:r>
              <w:t xml:space="preserve">ANAF, Codul fiscal, hotărârile Consiliului Local Cluj-Napoca (impozit pe clădiri)</w:t>
            </w:r>
          </w:p>
        </w:tc>
      </w:tr>
      <w:tr>
        <w:tc>
          <w:tcPr>
            <w:tcW w:w="3838" w:type="dxa"/>
          </w:tcPr>
          <w:p>
            <w:pPr/>
            <w:r>
              <w:t xml:space="preserve">Juridic</w:t>
            </w:r>
          </w:p>
        </w:tc>
        <w:tc>
          <w:tcPr>
            <w:tcW w:w="5521" w:type="dxa"/>
          </w:tcPr>
          <w:p>
            <w:pPr/>
            <w:r>
              <w:t xml:space="preserve">Extras CF (eTerra/ANCPI), autorizație și recepție, formular C168 pentru contractul de închiriere</w:t>
            </w:r>
          </w:p>
        </w:tc>
      </w:tr>
      <w:tr>
        <w:tc>
          <w:tcPr>
            <w:tcW w:w="3838" w:type="dxa"/>
          </w:tcPr>
          <w:p>
            <w:pPr/>
            <w:r>
              <w:t xml:space="preserve">Urbanism și catalizatori</w:t>
            </w:r>
          </w:p>
        </w:tc>
        <w:tc>
          <w:tcPr>
            <w:tcW w:w="5521" w:type="dxa"/>
          </w:tcPr>
          <w:p>
            <w:pPr/>
            <w:r>
              <w:t xml:space="preserve">Primăria Cluj-Napoca (PUG, PUZ, proiecte de infrastructură, dezbateri publice)</w:t>
            </w:r>
          </w:p>
        </w:tc>
      </w:tr>
      <w:tr>
        <w:tc>
          <w:tcPr>
            <w:tcW w:w="3838" w:type="dxa"/>
          </w:tcPr>
          <w:p>
            <w:pPr/>
            <w:r>
              <w:t xml:space="preserve">Cerere de chirie</w:t>
            </w:r>
          </w:p>
        </w:tc>
        <w:tc>
          <w:tcPr>
            <w:tcW w:w="5521" w:type="dxa"/>
          </w:tcPr>
          <w:p>
            <w:pPr/>
            <w:r>
              <w:t xml:space="preserve">Universități (număr de studenți), parcuri de birouri și IT, hărți de acces (OSM, OSRM)</w:t>
            </w:r>
          </w:p>
        </w:tc>
      </w:tr>
      <w:tr>
        <w:tc>
          <w:tcPr>
            <w:tcW w:w="3838" w:type="dxa"/>
          </w:tcPr>
          <w:p>
            <w:pPr/>
            <w:r>
              <w:t xml:space="preserve">Riscuri</w:t>
            </w:r>
          </w:p>
        </w:tc>
        <w:tc>
          <w:tcPr>
            <w:tcW w:w="5521" w:type="dxa"/>
          </w:tcPr>
          <w:p>
            <w:pPr/>
            <w:r>
              <w:t xml:space="preserve">Lista clădirilor cu risc seismic, Apele Române (inundații), studii geotehnice din PUG, hărți de zgomot</w:t>
            </w:r>
          </w:p>
        </w:tc>
      </w:tr>
      <w:tr>
        <w:tc>
          <w:tcPr>
            <w:tcW w:w="3838" w:type="dxa"/>
          </w:tcPr>
          <w:p>
            <w:pPr/>
            <w:r>
              <w:t xml:space="preserve">Energie și clădire</w:t>
            </w:r>
          </w:p>
        </w:tc>
        <w:tc>
          <w:tcPr>
            <w:tcW w:w="5521" w:type="dxa"/>
          </w:tcPr>
          <w:p>
            <w:pPr/>
            <w:r>
              <w:t xml:space="preserve">CPE, adeverință de la asociația de proprietari</w:t>
            </w:r>
          </w:p>
        </w:tc>
      </w:tr>
    </w:tbl>
    <w:p>
      <w:pPr>
        <w:pStyle w:val="Heading2"/>
      </w:pPr>
      <w:r>
        <w:t xml:space="preserve">3. Reguli eliminatorii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062"/>
        <w:gridCol w:w="4297"/>
      </w:tblGrid>
      <w:tr>
        <w:trPr>
          <w:tblHeader/>
        </w:trPr>
        <w:tc>
          <w:tcPr>
            <w:tcW w:w="5062" w:type="dxa"/>
            <w:shd w:val="clear" w:color="auto" w:fill="F2F2F2"/>
          </w:tcPr>
          <w:p>
            <w:pPr/>
            <w:r>
              <w:t xml:space="preserve">Regulă</w:t>
            </w:r>
          </w:p>
        </w:tc>
        <w:tc>
          <w:tcPr>
            <w:tcW w:w="4297" w:type="dxa"/>
            <w:shd w:val="clear" w:color="auto" w:fill="F2F2F2"/>
          </w:tcPr>
          <w:p>
            <w:pPr/>
            <w:r>
              <w:t xml:space="preserve">Efect</w:t>
            </w:r>
          </w:p>
        </w:tc>
      </w:tr>
      <w:tr>
        <w:tc>
          <w:tcPr>
            <w:tcW w:w="5062" w:type="dxa"/>
          </w:tcPr>
          <w:p>
            <w:pPr/>
            <w:r>
              <w:t xml:space="preserve">Clădire cu risc seismic RsI sau expertiză care recomandă consolidare</w:t>
            </w:r>
          </w:p>
        </w:tc>
        <w:tc>
          <w:tcPr>
            <w:tcW w:w="4297" w:type="dxa"/>
          </w:tcPr>
          <w:p>
            <w:pPr/>
            <w:r>
              <w:t xml:space="preserve">Scor 4 ≤ 3, scor compus ≤ 3,5</w:t>
            </w:r>
          </w:p>
        </w:tc>
      </w:tr>
      <w:tr>
        <w:tc>
          <w:tcPr>
            <w:tcW w:w="5062" w:type="dxa"/>
          </w:tcPr>
          <w:p>
            <w:pPr/>
            <w:r>
              <w:t xml:space="preserve">Probleme grave în CF (ipotecă neradiată, litigiu, lipsă intabulări, construcție fără autorizație sau recepție)</w:t>
            </w:r>
          </w:p>
        </w:tc>
        <w:tc>
          <w:tcPr>
            <w:tcW w:w="4297" w:type="dxa"/>
          </w:tcPr>
          <w:p>
            <w:pPr/>
            <w:r>
              <w:t xml:space="preserve">Scor 4 ≤ 3, scor compus ≤ 4</w:t>
            </w:r>
          </w:p>
        </w:tc>
      </w:tr>
      <w:tr>
        <w:tc>
          <w:tcPr>
            <w:tcW w:w="5062" w:type="dxa"/>
          </w:tcPr>
          <w:p>
            <w:pPr/>
            <w:r>
              <w:t xml:space="preserve">Zonă cu risc ridicat de inundație sau alunecare activă</w:t>
            </w:r>
          </w:p>
        </w:tc>
        <w:tc>
          <w:tcPr>
            <w:tcW w:w="4297" w:type="dxa"/>
          </w:tcPr>
          <w:p>
            <w:pPr/>
            <w:r>
              <w:t xml:space="preserve">Scor 4 ≤ 4, scor compus ≤ 5</w:t>
            </w:r>
          </w:p>
        </w:tc>
      </w:tr>
      <w:tr>
        <w:tc>
          <w:tcPr>
            <w:tcW w:w="5062" w:type="dxa"/>
          </w:tcPr>
          <w:p>
            <w:pPr/>
            <w:r>
              <w:t xml:space="preserve">Randament net sub rata fără risc după impozit și apreciere de bază sub inflație</w:t>
            </w:r>
          </w:p>
        </w:tc>
        <w:tc>
          <w:tcPr>
            <w:tcW w:w="4297" w:type="dxa"/>
          </w:tcPr>
          <w:p>
            <w:pPr/>
            <w:r>
              <w:t xml:space="preserve">Scor compus ≤ 5,5</w:t>
            </w:r>
          </w:p>
        </w:tc>
      </w:tr>
      <w:tr>
        <w:tc>
          <w:tcPr>
            <w:tcW w:w="5062" w:type="dxa"/>
          </w:tcPr>
          <w:p>
            <w:pPr/>
            <w:r>
              <w:t xml:space="preserve">DSCR &lt; 1,0 (chiria nu acoperă rata)</w:t>
            </w:r>
          </w:p>
        </w:tc>
        <w:tc>
          <w:tcPr>
            <w:tcW w:w="4297" w:type="dxa"/>
          </w:tcPr>
          <w:p>
            <w:pPr/>
            <w:r>
              <w:t xml:space="preserve">Scor 1 ≤ 3</w:t>
            </w:r>
          </w:p>
        </w:tc>
      </w:tr>
      <w:tr>
        <w:tc>
          <w:tcPr>
            <w:tcW w:w="5062" w:type="dxa"/>
          </w:tcPr>
          <w:p>
            <w:pPr/>
            <w:r>
              <w:t xml:space="preserve">Încredere în date &lt; 0,6</w:t>
            </w:r>
          </w:p>
        </w:tc>
        <w:tc>
          <w:tcPr>
            <w:tcW w:w="4297" w:type="dxa"/>
          </w:tcPr>
          <w:p>
            <w:pPr/>
            <w:r>
              <w:t xml:space="preserve">Rezultatul se marchează „provizoriu”</w:t>
            </w:r>
          </w:p>
        </w:tc>
      </w:tr>
    </w:tbl>
    <w:p>
      <w:pPr>
        <w:pStyle w:val="Heading2"/>
      </w:pPr>
      <w:r>
        <w:t xml:space="preserve">4. Scor 1: Randament net din chirie (RN)</w:t>
      </w:r>
    </w:p>
    <w:p>
      <w:pPr/>
      <w:r>
        <w:rPr>
          <w:b/>
        </w:rPr>
        <w:t xml:space="preserve">RN = 0,40·Y1 + 0,15·Y2 + 0,15·Y3 + 0,15·Y4 + 0,15·Y5</w:t>
      </w:r>
    </w:p>
    <w:p>
      <w:pPr>
        <w:pStyle w:val="Heading3"/>
      </w:pPr>
      <w:r>
        <w:t xml:space="preserve">Calculul de bază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E = R_m · (12 − v)</w:t>
      </w:r>
      <w:r>
        <w:t xml:space="preserve">, unde </w:t>
      </w:r>
      <w:r>
        <w:rPr>
          <w:rStyle w:val="CodeChar"/>
        </w:rPr>
        <w:t xml:space="preserve">R_m</w:t>
      </w:r>
      <w:r>
        <w:t xml:space="preserve"> este chiria din comparabile ajustate (nu cea sperată de vânzător) și </w:t>
      </w:r>
      <w:r>
        <w:rPr>
          <w:rStyle w:val="CodeChar"/>
        </w:rPr>
        <w:t xml:space="preserve">v</w:t>
      </w:r>
      <w:r>
        <w:t xml:space="preserve"> este vacanța în luni (de obicei 0,5-1,5).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Opex = impozit local + asigurare + mentenanță (0,5-1% din valoare) + cheltuieli neacoperite de chiriaș + administrare (6-10% din E, dacă e externalizată) + comision de re-închiriere (aprox. 0,5-1 chirie la fiecare 2 ani)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Impozit = τ · 0,80 · E</w:t>
      </w:r>
      <w:r>
        <w:t xml:space="preserve"> (cu τ = 10%, adică 8% din E).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CASS</w:t>
      </w:r>
      <w:r>
        <w:t xml:space="preserve">: se adaugă doar dacă veniturile tale cumulate din chirii și alte surse cu CASS depășesc 6 salarii minime. Valoarea este 10% din plafonul aplicabil (6, 12 sau 24 salarii minime), verifică pragurile în vigoare.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NOI_net = E − Opex − Impozit − CASS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TCA = P_tr + taxe și onorarii de achiziție + comision agenție + renovare + mobilare + costuri inițiale de finanțare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y_n = NOI_net / TCA</w:t>
      </w:r>
      <w:r>
        <w:t xml:space="preserve">. Calculezi și </w:t>
      </w:r>
      <w:r>
        <w:rPr>
          <w:rStyle w:val="CodeChar"/>
        </w:rPr>
        <w:t xml:space="preserve">y_b = 12·R_m / P_cerut</w:t>
      </w:r>
      <w:r>
        <w:t xml:space="preserve">, ca să compari cu reperul brut de piață.</w:t>
      </w:r>
    </w:p>
    <w:p>
      <w:pPr>
        <w:pStyle w:val="ListParagraph"/>
        <w:numPr>
          <w:ilvl w:val="0"/>
          <w:numId w:val="4"/>
        </w:numPr>
      </w:pPr>
      <w:r>
        <w:t xml:space="preserve">Dacă ai peste 5 contracte de închiriere la sfârșitul anului, veniturile se tratează ca venituri din activități independente (vezi regimul fiscal în vigoare).</w:t>
      </w:r>
    </w:p>
    <w:p>
      <w:pPr>
        <w:pStyle w:val="Heading3"/>
      </w:pPr>
      <w:r>
        <w:t xml:space="preserve">Indicatori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73"/>
        <w:gridCol w:w="1067"/>
        <w:gridCol w:w="4920"/>
      </w:tblGrid>
      <w:tr>
        <w:trPr>
          <w:tblHeader/>
        </w:trPr>
        <w:tc>
          <w:tcPr>
            <w:tcW w:w="3373" w:type="dxa"/>
            <w:shd w:val="clear" w:color="auto" w:fill="F2F2F2"/>
          </w:tcPr>
          <w:p>
            <w:pPr/>
            <w:r>
              <w:t xml:space="preserve">Indicator</w:t>
            </w:r>
          </w:p>
        </w:tc>
        <w:tc>
          <w:tcPr>
            <w:tcW w:w="1067" w:type="dxa"/>
            <w:shd w:val="clear" w:color="auto" w:fill="F2F2F2"/>
          </w:tcPr>
          <w:p>
            <w:pPr/>
            <w:r>
              <w:t xml:space="preserve">Pondere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Scorare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Y1: randament net</w:t>
            </w:r>
          </w:p>
        </w:tc>
        <w:tc>
          <w:tcPr>
            <w:tcW w:w="1067" w:type="dxa"/>
          </w:tcPr>
          <w:p>
            <w:pPr/>
            <w:r>
              <w:t xml:space="preserve">40%</w:t>
            </w:r>
          </w:p>
        </w:tc>
        <w:tc>
          <w:tcPr>
            <w:tcW w:w="4920" w:type="dxa"/>
          </w:tcPr>
          <w:p>
            <w:pPr/>
            <w:r>
              <w:t xml:space="preserve">Lin(y_n; 1,5%, 5,0%). Reperul pieței (~3,9% brut, ~3% net) dă ≈ 5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Y2: spread față de alternativa fără risc (depozit sau titluri de stat, după impozit, </w:t>
            </w:r>
            <w:r>
              <w:rPr>
                <w:rStyle w:val="CodeChar"/>
              </w:rPr>
              <w:t xml:space="preserve">r_f_net</w:t>
            </w:r>
            <w:r>
              <w:t xml:space="preserve">)</w:t>
            </w:r>
          </w:p>
        </w:tc>
        <w:tc>
          <w:tcPr>
            <w:tcW w:w="1067" w:type="dxa"/>
          </w:tcPr>
          <w:p>
            <w:pPr/>
            <w:r>
              <w:t xml:space="preserve">15%</w:t>
            </w:r>
          </w:p>
        </w:tc>
        <w:tc>
          <w:tcPr>
            <w:tcW w:w="4920" w:type="dxa"/>
          </w:tcPr>
          <w:p>
            <w:pPr/>
            <w:r>
              <w:t xml:space="preserve">Lin(y_n − r_f_net; −4%, +1%)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Y3: sustenabilitatea datoriei</w:t>
            </w:r>
          </w:p>
        </w:tc>
        <w:tc>
          <w:tcPr>
            <w:tcW w:w="1067" w:type="dxa"/>
          </w:tcPr>
          <w:p>
            <w:pPr/>
            <w:r>
              <w:t xml:space="preserve">15%</w:t>
            </w:r>
          </w:p>
        </w:tc>
        <w:tc>
          <w:tcPr>
            <w:tcW w:w="4920" w:type="dxa"/>
          </w:tcPr>
          <w:p>
            <w:pPr/>
            <w:r>
              <w:t xml:space="preserve">Lin(DSCR; 1,0, 1,6), unde DSCR = NOI_net / serviciul anual al datoriei. Fără credit, ponderea se redistribuie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Y4: stabilitatea cererii de chirie</w:t>
            </w:r>
          </w:p>
        </w:tc>
        <w:tc>
          <w:tcPr>
            <w:tcW w:w="1067" w:type="dxa"/>
          </w:tcPr>
          <w:p>
            <w:pPr/>
            <w:r>
              <w:t xml:space="preserve">15%</w:t>
            </w:r>
          </w:p>
        </w:tc>
        <w:tc>
          <w:tcPr>
            <w:tcW w:w="4920" w:type="dxa"/>
          </w:tcPr>
          <w:p>
            <w:pPr/>
            <w:r>
              <w:t xml:space="preserve">Medie din: timp la universități/birouri (Lin(min; 40, 8)), zile pentru a închiria (Lin(zile; 45, 7)), raport anunțuri/cerere, diversitatea chiriașilor posibili (studenți, profesioniști, familii)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Y5: rezistența la stres</w:t>
            </w:r>
          </w:p>
        </w:tc>
        <w:tc>
          <w:tcPr>
            <w:tcW w:w="1067" w:type="dxa"/>
          </w:tcPr>
          <w:p>
            <w:pPr/>
            <w:r>
              <w:t xml:space="preserve">15%</w:t>
            </w:r>
          </w:p>
        </w:tc>
        <w:tc>
          <w:tcPr>
            <w:tcW w:w="4920" w:type="dxa"/>
          </w:tcPr>
          <w:p>
            <w:pPr/>
            <w:r>
              <w:t xml:space="preserve">Rulezi scenariul „chirie −10%, vacanță +1 lună, costuri +20%”. </w:t>
            </w:r>
            <w:r>
              <w:rPr>
                <w:rStyle w:val="CodeChar"/>
              </w:rPr>
              <w:t xml:space="preserve">Y5 = Lin(y_n_stres/y_n; 0,55, 0,90)</w:t>
            </w:r>
          </w:p>
        </w:tc>
      </w:tr>
    </w:tbl>
    <w:p>
      <w:pPr>
        <w:pStyle w:val="Heading2"/>
      </w:pPr>
      <w:r>
        <w:t xml:space="preserve">5. Scor 2: Potențial de apreciere (PA)</w:t>
      </w:r>
    </w:p>
    <w:p>
      <w:pPr/>
      <w:r>
        <w:rPr>
          <w:b/>
        </w:rPr>
        <w:t xml:space="preserve">PA = 0,35·G + 0,20·V + 0,15·D + 0,15·O + 0,15·C</w:t>
      </w:r>
    </w:p>
    <w:p>
      <w:pPr>
        <w:pStyle w:val="Heading3"/>
      </w:pPr>
      <w:r>
        <w:t xml:space="preserve">G: Creștere așteptată (35%)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g_loc36 = CAGR-ul prețului/mp pe 36 de luni în microzonă (în euro)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g_fund = inflație așteptată + 0,5 · creștere reală a salariilor − 0,3 · (PTI_loc/PTI_istoric − 1)</w:t>
      </w:r>
      <w:r>
        <w:t xml:space="preserve">, unde PTI este raportul preț/venit anual al gospodăriei. Termenul din urmă temperează creșterea când piața e deja scumpă față de venituri.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g_base = clamp(0,5·g_loc36 + 0,5·g_fund, −2%, 8%)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g_bear = g_base − 4 puncte procentuale</w:t>
      </w:r>
      <w:r>
        <w:t xml:space="preserve">, </w:t>
      </w:r>
      <w:r>
        <w:rPr>
          <w:rStyle w:val="CodeChar"/>
        </w:rPr>
        <w:t xml:space="preserve">g_bull = g_base + 2 puncte procentuale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G = 0,6·Lin(g_base; 0%, 7%) + 0,4·Lin(g_bear; −4%, 3%)</w:t>
      </w:r>
      <w:r>
        <w:t xml:space="preserve">. A doua parte penalizează scenariile slabe.</w:t>
      </w:r>
    </w:p>
    <w:p>
      <w:pPr/>
      <w:r>
        <w:t xml:space="preserve">Pentru context, analiștii nu preconizau scăderi de prețuri în 2026, dar este foarte probabil ca ritmul de creștere să se tempereze. Nu folosi ritmurile din 2024-2025 ca sursă pentru viitor.</w:t>
      </w:r>
    </w:p>
    <w:p>
      <w:pPr>
        <w:pStyle w:val="Heading3"/>
      </w:pPr>
      <w:r>
        <w:t xml:space="preserve">Restul indicatorilor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86"/>
        <w:gridCol w:w="1067"/>
        <w:gridCol w:w="3907"/>
      </w:tblGrid>
      <w:tr>
        <w:trPr>
          <w:tblHeader/>
        </w:trPr>
        <w:tc>
          <w:tcPr>
            <w:tcW w:w="4386" w:type="dxa"/>
            <w:shd w:val="clear" w:color="auto" w:fill="F2F2F2"/>
          </w:tcPr>
          <w:p>
            <w:pPr/>
            <w:r>
              <w:t xml:space="preserve">Indicator</w:t>
            </w:r>
          </w:p>
        </w:tc>
        <w:tc>
          <w:tcPr>
            <w:tcW w:w="1067" w:type="dxa"/>
            <w:shd w:val="clear" w:color="auto" w:fill="F2F2F2"/>
          </w:tcPr>
          <w:p>
            <w:pPr/>
            <w:r>
              <w:t xml:space="preserve">Pondere</w:t>
            </w:r>
          </w:p>
        </w:tc>
        <w:tc>
          <w:tcPr>
            <w:tcW w:w="3907" w:type="dxa"/>
            <w:shd w:val="clear" w:color="auto" w:fill="F2F2F2"/>
          </w:tcPr>
          <w:p>
            <w:pPr/>
            <w:r>
              <w:t xml:space="preserve">Scorare</w:t>
            </w:r>
          </w:p>
        </w:tc>
      </w:tr>
      <w:tr>
        <w:tc>
          <w:tcPr>
            <w:tcW w:w="4386" w:type="dxa"/>
          </w:tcPr>
          <w:p>
            <w:pPr/>
            <w:r>
              <w:t xml:space="preserve">V: valoare relativă (preț/mp față de mediana comparabilelor ajustate și a zonei)</w:t>
            </w:r>
          </w:p>
        </w:tc>
        <w:tc>
          <w:tcPr>
            <w:tcW w:w="1067" w:type="dxa"/>
          </w:tcPr>
          <w:p>
            <w:pPr/>
            <w:r>
              <w:t xml:space="preserve">20%</w:t>
            </w:r>
          </w:p>
        </w:tc>
        <w:tc>
          <w:tcPr>
            <w:tcW w:w="3907" w:type="dxa"/>
          </w:tcPr>
          <w:p>
            <w:pPr/>
            <w:r>
              <w:t xml:space="preserve">Lin(P_mp / P_fair_mp; 1,15, 0,85). Sub-evaluat înseamnă potențial de convergență</w:t>
            </w:r>
          </w:p>
        </w:tc>
      </w:tr>
      <w:tr>
        <w:tc>
          <w:tcPr>
            <w:tcW w:w="4386" w:type="dxa"/>
          </w:tcPr>
          <w:p>
            <w:pPr/>
            <w:r>
              <w:t xml:space="preserve">D: fundamente de cerere (creștere de populație, număr de studenți, angajări în IT și servicii, salarii)</w:t>
            </w:r>
          </w:p>
        </w:tc>
        <w:tc>
          <w:tcPr>
            <w:tcW w:w="1067" w:type="dxa"/>
          </w:tcPr>
          <w:p>
            <w:pPr/>
            <w:r>
              <w:t xml:space="preserve">15%</w:t>
            </w:r>
          </w:p>
        </w:tc>
        <w:tc>
          <w:tcPr>
            <w:tcW w:w="3907" w:type="dxa"/>
          </w:tcPr>
          <w:p>
            <w:pPr/>
            <w:r>
              <w:t xml:space="preserve">Percentil pe tendințe INS și surse locale</w:t>
            </w:r>
          </w:p>
        </w:tc>
      </w:tr>
      <w:tr>
        <w:tc>
          <w:tcPr>
            <w:tcW w:w="4386" w:type="dxa"/>
          </w:tcPr>
          <w:p>
            <w:pPr/>
            <w:r>
              <w:t xml:space="preserve">O: oferta viitoare în raza de 1-2 km (autorizații de construire, apartamente în construcție)</w:t>
            </w:r>
          </w:p>
        </w:tc>
        <w:tc>
          <w:tcPr>
            <w:tcW w:w="1067" w:type="dxa"/>
          </w:tcPr>
          <w:p>
            <w:pPr/>
            <w:r>
              <w:t xml:space="preserve">15%</w:t>
            </w:r>
          </w:p>
        </w:tc>
        <w:tc>
          <w:tcPr>
            <w:tcW w:w="3907" w:type="dxa"/>
          </w:tcPr>
          <w:p>
            <w:pPr/>
            <w:r>
              <w:t xml:space="preserve">Lin(apartamente noi / stoc existent; 12%, 2%). Suprasaturarea scade scorul</w:t>
            </w:r>
          </w:p>
        </w:tc>
      </w:tr>
      <w:tr>
        <w:tc>
          <w:tcPr>
            <w:tcW w:w="4386" w:type="dxa"/>
          </w:tcPr>
          <w:p>
            <w:pPr/>
            <w:r>
              <w:t xml:space="preserve">C: catalizatori (infrastructură, modificări PUZ, parcuri, transport)</w:t>
            </w:r>
          </w:p>
        </w:tc>
        <w:tc>
          <w:tcPr>
            <w:tcW w:w="1067" w:type="dxa"/>
          </w:tcPr>
          <w:p>
            <w:pPr/>
            <w:r>
              <w:t xml:space="preserve">15%</w:t>
            </w:r>
          </w:p>
        </w:tc>
        <w:tc>
          <w:tcPr>
            <w:tcW w:w="3907" w:type="dxa"/>
          </w:tcPr>
          <w:p>
            <w:pPr/>
            <w:r>
              <w:t xml:space="preserve">Listă de verificare 0-10, doar pentru proiecte cu finanțare și grafic confirmate, nu simple promisiuni</w:t>
            </w:r>
          </w:p>
        </w:tc>
      </w:tr>
    </w:tbl>
    <w:p>
      <w:pPr>
        <w:pStyle w:val="Heading2"/>
      </w:pPr>
      <w:r>
        <w:t xml:space="preserve">6. Scor 3: Lichiditate la revânzare (LR)</w:t>
      </w:r>
    </w:p>
    <w:p>
      <w:pPr/>
      <w:r>
        <w:rPr>
          <w:b/>
        </w:rPr>
        <w:t xml:space="preserve">LR = 0,25·T + 0,20·Dp + 0,15·Tp + 0,15·Dsc + 0,10·Bz + 0,15·Vz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1067"/>
        <w:gridCol w:w="3373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Indicator</w:t>
            </w:r>
          </w:p>
        </w:tc>
        <w:tc>
          <w:tcPr>
            <w:tcW w:w="1067" w:type="dxa"/>
            <w:shd w:val="clear" w:color="auto" w:fill="F2F2F2"/>
          </w:tcPr>
          <w:p>
            <w:pPr/>
            <w:r>
              <w:t xml:space="preserve">Pondere</w:t>
            </w:r>
          </w:p>
        </w:tc>
        <w:tc>
          <w:tcPr>
            <w:tcW w:w="3373" w:type="dxa"/>
            <w:shd w:val="clear" w:color="auto" w:fill="F2F2F2"/>
          </w:tcPr>
          <w:p>
            <w:pPr/>
            <w:r>
              <w:t xml:space="preserve">Scorare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T: timp mediu pe piață pentru tipologia și zona respectivă</w:t>
            </w:r>
          </w:p>
        </w:tc>
        <w:tc>
          <w:tcPr>
            <w:tcW w:w="1067" w:type="dxa"/>
          </w:tcPr>
          <w:p>
            <w:pPr/>
            <w:r>
              <w:t xml:space="preserve">25%</w:t>
            </w:r>
          </w:p>
        </w:tc>
        <w:tc>
          <w:tcPr>
            <w:tcW w:w="3373" w:type="dxa"/>
          </w:tcPr>
          <w:p>
            <w:pPr/>
            <w:r>
              <w:t xml:space="preserve">Lin(zile; 180, 30)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Dp: adâncimea pieței (număr de anunțuri comparabile active și rata de dispariție a anunțurilor)</w:t>
            </w:r>
          </w:p>
        </w:tc>
        <w:tc>
          <w:tcPr>
            <w:tcW w:w="1067" w:type="dxa"/>
          </w:tcPr>
          <w:p>
            <w:pPr/>
            <w:r>
              <w:t xml:space="preserve">20%</w:t>
            </w:r>
          </w:p>
        </w:tc>
        <w:tc>
          <w:tcPr>
            <w:tcW w:w="3373" w:type="dxa"/>
          </w:tcPr>
          <w:p>
            <w:pPr/>
            <w:r>
              <w:t xml:space="preserve">Percentil față de alte microzone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Tp: tipologia (2-3 camere, 45-70 mp, se revând cel mai ușor; garsoniere mici și apartamente foarte mari mai greu)</w:t>
            </w:r>
          </w:p>
        </w:tc>
        <w:tc>
          <w:tcPr>
            <w:tcW w:w="1067" w:type="dxa"/>
          </w:tcPr>
          <w:p>
            <w:pPr/>
            <w:r>
              <w:t xml:space="preserve">15%</w:t>
            </w:r>
          </w:p>
        </w:tc>
        <w:tc>
          <w:tcPr>
            <w:tcW w:w="3373" w:type="dxa"/>
          </w:tcPr>
          <w:p>
            <w:pPr/>
            <w:r>
              <w:t xml:space="preserve">2-3 camere standard = 9-10, garsonieră = 6, 4+ camere = 5-6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Dsc: discount tipic la ieșire (scăderea prețului cerut până la vânzare, plus costuri de vânzare)</w:t>
            </w:r>
          </w:p>
        </w:tc>
        <w:tc>
          <w:tcPr>
            <w:tcW w:w="1067" w:type="dxa"/>
          </w:tcPr>
          <w:p>
            <w:pPr/>
            <w:r>
              <w:t xml:space="preserve">15%</w:t>
            </w:r>
          </w:p>
        </w:tc>
        <w:tc>
          <w:tcPr>
            <w:tcW w:w="3373" w:type="dxa"/>
          </w:tcPr>
          <w:p>
            <w:pPr/>
            <w:r>
              <w:t xml:space="preserve">Lin(discount; 12%, 2%)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Bz: baza de cumpărători (familii, investitori, programe de creditare, accesibilitatea prețului față de venituri)</w:t>
            </w:r>
          </w:p>
        </w:tc>
        <w:tc>
          <w:tcPr>
            <w:tcW w:w="1067" w:type="dxa"/>
          </w:tcPr>
          <w:p>
            <w:pPr/>
            <w:r>
              <w:t xml:space="preserve">10%</w:t>
            </w:r>
          </w:p>
        </w:tc>
        <w:tc>
          <w:tcPr>
            <w:tcW w:w="3373" w:type="dxa"/>
          </w:tcPr>
          <w:p>
            <w:pPr/>
            <w:r>
              <w:t xml:space="preserve">Lin(preț/venit net al gospodăriei tipice din zonă; 12, 6)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Vz: vandabilitate fizică și juridică (etaj, lumină, parcare, clădire, CF curat)</w:t>
            </w:r>
          </w:p>
        </w:tc>
        <w:tc>
          <w:tcPr>
            <w:tcW w:w="1067" w:type="dxa"/>
          </w:tcPr>
          <w:p>
            <w:pPr/>
            <w:r>
              <w:t xml:space="preserve">15%</w:t>
            </w:r>
          </w:p>
        </w:tc>
        <w:tc>
          <w:tcPr>
            <w:tcW w:w="3373" w:type="dxa"/>
          </w:tcPr>
          <w:p>
            <w:pPr/>
            <w:r>
              <w:t xml:space="preserve">Medie din scorurile de la indicatorii de locuire și juridici</w:t>
            </w:r>
          </w:p>
        </w:tc>
      </w:tr>
    </w:tbl>
    <w:p>
      <w:pPr/>
      <w:r>
        <w:t xml:space="preserve">Un apartament cu randament bun, dar lichiditate slabă, poate fi o capcană: iei chirie, dar ieși greu fără discount. Dacă LR &lt; 4, scorul compus se plafonează la 6.</w:t>
      </w:r>
    </w:p>
    <w:p>
      <w:pPr>
        <w:pStyle w:val="Heading2"/>
      </w:pPr>
      <w:r>
        <w:t xml:space="preserve">7. Scor 4: Preț de intrare și riscuri (PR)</w:t>
      </w:r>
    </w:p>
    <w:p>
      <w:pPr/>
      <w:r>
        <w:t xml:space="preserve">Scorul măsoară dacă intri la un preț corect și cât de curate sunt riscurile. Scor mare înseamnă intrare bună și riscuri mici.</w:t>
      </w:r>
    </w:p>
    <w:p>
      <w:pPr/>
      <w:r>
        <w:rPr>
          <w:b/>
        </w:rPr>
        <w:t xml:space="preserve">PR = 0,30·P + 0,10·T + 0,20·J + 0,15·S + 0,10·Dz + 0,10·Z + 0,05·F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373"/>
        <w:gridCol w:w="1067"/>
        <w:gridCol w:w="4920"/>
      </w:tblGrid>
      <w:tr>
        <w:trPr>
          <w:tblHeader/>
        </w:trPr>
        <w:tc>
          <w:tcPr>
            <w:tcW w:w="3373" w:type="dxa"/>
            <w:shd w:val="clear" w:color="auto" w:fill="F2F2F2"/>
          </w:tcPr>
          <w:p>
            <w:pPr/>
            <w:r>
              <w:t xml:space="preserve">Indicator</w:t>
            </w:r>
          </w:p>
        </w:tc>
        <w:tc>
          <w:tcPr>
            <w:tcW w:w="1067" w:type="dxa"/>
            <w:shd w:val="clear" w:color="auto" w:fill="F2F2F2"/>
          </w:tcPr>
          <w:p>
            <w:pPr/>
            <w:r>
              <w:t xml:space="preserve">Pondere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Scorare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P: preț vs valoare</w:t>
            </w:r>
          </w:p>
        </w:tc>
        <w:tc>
          <w:tcPr>
            <w:tcW w:w="1067" w:type="dxa"/>
          </w:tcPr>
          <w:p>
            <w:pPr/>
            <w:r>
              <w:t xml:space="preserve">30%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P_fair = mediana(preț/mp) × Π ajustări</w:t>
            </w:r>
            <w:r>
              <w:t xml:space="preserve"> (etaj, an, stare, parcare, orientare). </w:t>
            </w:r>
            <w:r>
              <w:rPr>
                <w:rStyle w:val="CodeChar"/>
              </w:rPr>
              <w:t xml:space="preserve">P_tr = P_cerut × (1 − n)</w:t>
            </w:r>
            <w:r>
              <w:t xml:space="preserve">. </w:t>
            </w:r>
            <w:r>
              <w:rPr>
                <w:rStyle w:val="CodeChar"/>
              </w:rPr>
              <w:t xml:space="preserve">G = (P_fair − P_tr)/P_fair</w:t>
            </w:r>
            <w:r>
              <w:t xml:space="preserve"> și </w:t>
            </w:r>
            <w:r>
              <w:rPr>
                <w:rStyle w:val="CodeChar"/>
              </w:rPr>
              <w:t xml:space="preserve">P = Lin(G; −0,20, +0,20)</w:t>
            </w:r>
            <w:r>
              <w:t xml:space="preserve">. Negocierile sunt de regulă sub 4% pe o piață stabilă, deci nu presupune mai mult de 3-4%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T: cost total de intrare</w:t>
            </w:r>
          </w:p>
        </w:tc>
        <w:tc>
          <w:tcPr>
            <w:tcW w:w="1067" w:type="dxa"/>
          </w:tcPr>
          <w:p>
            <w:pPr/>
            <w:r>
              <w:t xml:space="preserve">10%</w:t>
            </w:r>
          </w:p>
        </w:tc>
        <w:tc>
          <w:tcPr>
            <w:tcW w:w="4920" w:type="dxa"/>
          </w:tcPr>
          <w:p>
            <w:pPr/>
            <w:r>
              <w:t xml:space="preserve">Lin(TCA/P_fair; 1,15, 1,03)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J: risc juridic</w:t>
            </w:r>
          </w:p>
        </w:tc>
        <w:tc>
          <w:tcPr>
            <w:tcW w:w="1067" w:type="dxa"/>
          </w:tcPr>
          <w:p>
            <w:pPr/>
            <w:r>
              <w:t xml:space="preserve">20%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10 − Σ penalizări</w:t>
            </w:r>
            <w:r>
              <w:t xml:space="preserve">: ipotecă, litigiu, suprafață CF ≠ reală, lipsă intabulări, lipsă autorizație/recepție, datorii la asociație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S: risc tehnic și seismic</w:t>
            </w:r>
          </w:p>
        </w:tc>
        <w:tc>
          <w:tcPr>
            <w:tcW w:w="1067" w:type="dxa"/>
          </w:tcPr>
          <w:p>
            <w:pPr/>
            <w:r>
              <w:t xml:space="preserve">15%</w:t>
            </w:r>
          </w:p>
        </w:tc>
        <w:tc>
          <w:tcPr>
            <w:tcW w:w="4920" w:type="dxa"/>
          </w:tcPr>
          <w:p>
            <w:pPr/>
            <w:r>
              <w:t xml:space="preserve">Anul construcției și expertiza (după 2006 = 10, 1990-2005 = 7, 1978-1989 = 5, 1963-1977 = 4, înainte de 1963 = 3-6 după expertiză), plus starea instalațiilor, fațadei și a acoperișului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Dz: risc de dezvoltator (doar pentru proiecte noi)</w:t>
            </w:r>
          </w:p>
        </w:tc>
        <w:tc>
          <w:tcPr>
            <w:tcW w:w="1067" w:type="dxa"/>
          </w:tcPr>
          <w:p>
            <w:pPr/>
            <w:r>
              <w:t xml:space="preserve">10%</w:t>
            </w:r>
          </w:p>
        </w:tc>
        <w:tc>
          <w:tcPr>
            <w:tcW w:w="4920" w:type="dxa"/>
          </w:tcPr>
          <w:p>
            <w:pPr/>
            <w:r>
              <w:t xml:space="preserve">Istoric de livrări, stadiu execuție, garanții, structura de finanțare, litigii. Dacă apartamentul nu e într-un proiect nou, ponderea se redistribuie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Z: risc de zonă și urbanism</w:t>
            </w:r>
          </w:p>
        </w:tc>
        <w:tc>
          <w:tcPr>
            <w:tcW w:w="1067" w:type="dxa"/>
          </w:tcPr>
          <w:p>
            <w:pPr/>
            <w:r>
              <w:t xml:space="preserve">10%</w:t>
            </w:r>
          </w:p>
        </w:tc>
        <w:tc>
          <w:tcPr>
            <w:tcW w:w="4920" w:type="dxa"/>
          </w:tcPr>
          <w:p>
            <w:pPr/>
            <w:r>
              <w:t xml:space="preserve">Zgomot, inundații, alunecări, PUZ care poate aduce construcții noi sau modificări de trafic</w:t>
            </w:r>
          </w:p>
        </w:tc>
      </w:tr>
      <w:tr>
        <w:tc>
          <w:tcPr>
            <w:tcW w:w="3373" w:type="dxa"/>
          </w:tcPr>
          <w:p>
            <w:pPr/>
            <w:r>
              <w:t xml:space="preserve">F: risc financiar</w:t>
            </w:r>
          </w:p>
        </w:tc>
        <w:tc>
          <w:tcPr>
            <w:tcW w:w="1067" w:type="dxa"/>
          </w:tcPr>
          <w:p>
            <w:pPr/>
            <w:r>
              <w:t xml:space="preserve">5%</w:t>
            </w:r>
          </w:p>
        </w:tc>
        <w:tc>
          <w:tcPr>
            <w:tcW w:w="4920" w:type="dxa"/>
          </w:tcPr>
          <w:p>
            <w:pPr/>
            <w:r>
              <w:t xml:space="preserve">Sensibilitatea ratei la +2 puncte procentuale de dobândă, </w:t>
            </w:r>
            <w:r>
              <w:rPr>
                <w:rStyle w:val="CodeChar"/>
              </w:rPr>
              <w:t xml:space="preserve">Lin(DSTI; 0,50, 0,25)</w:t>
            </w:r>
          </w:p>
        </w:tc>
      </w:tr>
    </w:tbl>
    <w:p>
      <w:pPr>
        <w:pStyle w:val="Heading2"/>
      </w:pPr>
      <w:r>
        <w:t xml:space="preserve">8. Scorul compus și interpretarea</w:t>
      </w:r>
    </w:p>
    <w:p>
      <w:pPr/>
      <w:r>
        <w:t xml:space="preserve">Ponderile depind de strategie: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593"/>
        <w:gridCol w:w="1191"/>
        <w:gridCol w:w="1191"/>
        <w:gridCol w:w="1191"/>
        <w:gridCol w:w="1191"/>
      </w:tblGrid>
      <w:tr>
        <w:trPr>
          <w:tblHeader/>
        </w:trPr>
        <w:tc>
          <w:tcPr>
            <w:tcW w:w="4593" w:type="dxa"/>
            <w:shd w:val="clear" w:color="auto" w:fill="F2F2F2"/>
          </w:tcPr>
          <w:p>
            <w:pPr/>
            <w:r>
              <w:t xml:space="preserve">Strategie</w:t>
            </w:r>
          </w:p>
        </w:tc>
        <w:tc>
          <w:tcPr>
            <w:tcW w:w="1191" w:type="dxa"/>
            <w:shd w:val="clear" w:color="auto" w:fill="F2F2F2"/>
          </w:tcPr>
          <w:p>
            <w:pPr/>
            <w:r>
              <w:t xml:space="preserve">RN</w:t>
            </w:r>
          </w:p>
        </w:tc>
        <w:tc>
          <w:tcPr>
            <w:tcW w:w="1191" w:type="dxa"/>
            <w:shd w:val="clear" w:color="auto" w:fill="F2F2F2"/>
          </w:tcPr>
          <w:p>
            <w:pPr/>
            <w:r>
              <w:t xml:space="preserve">PA</w:t>
            </w:r>
          </w:p>
        </w:tc>
        <w:tc>
          <w:tcPr>
            <w:tcW w:w="1191" w:type="dxa"/>
            <w:shd w:val="clear" w:color="auto" w:fill="F2F2F2"/>
          </w:tcPr>
          <w:p>
            <w:pPr/>
            <w:r>
              <w:t xml:space="preserve">LR</w:t>
            </w:r>
          </w:p>
        </w:tc>
        <w:tc>
          <w:tcPr>
            <w:tcW w:w="1191" w:type="dxa"/>
            <w:shd w:val="clear" w:color="auto" w:fill="F2F2F2"/>
          </w:tcPr>
          <w:p>
            <w:pPr/>
            <w:r>
              <w:t xml:space="preserve">PR</w:t>
            </w:r>
          </w:p>
        </w:tc>
      </w:tr>
      <w:tr>
        <w:tc>
          <w:tcPr>
            <w:tcW w:w="4593" w:type="dxa"/>
          </w:tcPr>
          <w:p>
            <w:pPr/>
            <w:r>
              <w:t xml:space="preserve">Flux de numerar (chirie)</w:t>
            </w:r>
          </w:p>
        </w:tc>
        <w:tc>
          <w:tcPr>
            <w:tcW w:w="1191" w:type="dxa"/>
          </w:tcPr>
          <w:p>
            <w:pPr/>
            <w:r>
              <w:t xml:space="preserve">0,45</w:t>
            </w:r>
          </w:p>
        </w:tc>
        <w:tc>
          <w:tcPr>
            <w:tcW w:w="1191" w:type="dxa"/>
          </w:tcPr>
          <w:p>
            <w:pPr/>
            <w:r>
              <w:t xml:space="preserve">0,15</w:t>
            </w:r>
          </w:p>
        </w:tc>
        <w:tc>
          <w:tcPr>
            <w:tcW w:w="1191" w:type="dxa"/>
          </w:tcPr>
          <w:p>
            <w:pPr/>
            <w:r>
              <w:t xml:space="preserve">0,15</w:t>
            </w:r>
          </w:p>
        </w:tc>
        <w:tc>
          <w:tcPr>
            <w:tcW w:w="1191" w:type="dxa"/>
          </w:tcPr>
          <w:p>
            <w:pPr/>
            <w:r>
              <w:t xml:space="preserve">0,25</w:t>
            </w:r>
          </w:p>
        </w:tc>
      </w:tr>
      <w:tr>
        <w:tc>
          <w:tcPr>
            <w:tcW w:w="4593" w:type="dxa"/>
          </w:tcPr>
          <w:p>
            <w:pPr/>
            <w:r>
              <w:t xml:space="preserve">Echilibrat</w:t>
            </w:r>
          </w:p>
        </w:tc>
        <w:tc>
          <w:tcPr>
            <w:tcW w:w="1191" w:type="dxa"/>
          </w:tcPr>
          <w:p>
            <w:pPr/>
            <w:r>
              <w:t xml:space="preserve">0,30</w:t>
            </w:r>
          </w:p>
        </w:tc>
        <w:tc>
          <w:tcPr>
            <w:tcW w:w="1191" w:type="dxa"/>
          </w:tcPr>
          <w:p>
            <w:pPr/>
            <w:r>
              <w:t xml:space="preserve">0,30</w:t>
            </w:r>
          </w:p>
        </w:tc>
        <w:tc>
          <w:tcPr>
            <w:tcW w:w="1191" w:type="dxa"/>
          </w:tcPr>
          <w:p>
            <w:pPr/>
            <w:r>
              <w:t xml:space="preserve">0,20</w:t>
            </w:r>
          </w:p>
        </w:tc>
        <w:tc>
          <w:tcPr>
            <w:tcW w:w="1191" w:type="dxa"/>
          </w:tcPr>
          <w:p>
            <w:pPr/>
            <w:r>
              <w:t xml:space="preserve">0,20</w:t>
            </w:r>
          </w:p>
        </w:tc>
      </w:tr>
      <w:tr>
        <w:tc>
          <w:tcPr>
            <w:tcW w:w="4593" w:type="dxa"/>
          </w:tcPr>
          <w:p>
            <w:pPr/>
            <w:r>
              <w:t xml:space="preserve">Creștere (apreciere)</w:t>
            </w:r>
          </w:p>
        </w:tc>
        <w:tc>
          <w:tcPr>
            <w:tcW w:w="1191" w:type="dxa"/>
          </w:tcPr>
          <w:p>
            <w:pPr/>
            <w:r>
              <w:t xml:space="preserve">0,15</w:t>
            </w:r>
          </w:p>
        </w:tc>
        <w:tc>
          <w:tcPr>
            <w:tcW w:w="1191" w:type="dxa"/>
          </w:tcPr>
          <w:p>
            <w:pPr/>
            <w:r>
              <w:t xml:space="preserve">0,45</w:t>
            </w:r>
          </w:p>
        </w:tc>
        <w:tc>
          <w:tcPr>
            <w:tcW w:w="1191" w:type="dxa"/>
          </w:tcPr>
          <w:p>
            <w:pPr/>
            <w:r>
              <w:t xml:space="preserve">0,15</w:t>
            </w:r>
          </w:p>
        </w:tc>
        <w:tc>
          <w:tcPr>
            <w:tcW w:w="1191" w:type="dxa"/>
          </w:tcPr>
          <w:p>
            <w:pPr/>
            <w:r>
              <w:t xml:space="preserve">0,25</w:t>
            </w:r>
          </w:p>
        </w:tc>
      </w:tr>
      <w:tr>
        <w:tc>
          <w:tcPr>
            <w:tcW w:w="4593" w:type="dxa"/>
          </w:tcPr>
          <w:p>
            <w:pPr/>
            <w:r>
              <w:t xml:space="preserve">Conservator</w:t>
            </w:r>
          </w:p>
        </w:tc>
        <w:tc>
          <w:tcPr>
            <w:tcW w:w="1191" w:type="dxa"/>
          </w:tcPr>
          <w:p>
            <w:pPr/>
            <w:r>
              <w:t xml:space="preserve">0,25</w:t>
            </w:r>
          </w:p>
        </w:tc>
        <w:tc>
          <w:tcPr>
            <w:tcW w:w="1191" w:type="dxa"/>
          </w:tcPr>
          <w:p>
            <w:pPr/>
            <w:r>
              <w:t xml:space="preserve">0,15</w:t>
            </w:r>
          </w:p>
        </w:tc>
        <w:tc>
          <w:tcPr>
            <w:tcW w:w="1191" w:type="dxa"/>
          </w:tcPr>
          <w:p>
            <w:pPr/>
            <w:r>
              <w:t xml:space="preserve">0,25</w:t>
            </w:r>
          </w:p>
        </w:tc>
        <w:tc>
          <w:tcPr>
            <w:tcW w:w="1191" w:type="dxa"/>
          </w:tcPr>
          <w:p>
            <w:pPr/>
            <w:r>
              <w:t xml:space="preserve">0,35</w:t>
            </w:r>
          </w:p>
        </w:tc>
      </w:tr>
    </w:tbl>
    <w:p>
      <w:pPr/>
      <w:r>
        <w:rPr>
          <w:rStyle w:val="CodeChar"/>
        </w:rPr>
        <w:t xml:space="preserve">SI = (Σ wᵢ · √Sᵢ)²</w:t>
      </w:r>
      <w:r>
        <w:t xml:space="preserve">, apoi aplici plafoanele din secțiunea 3. Media de putere (p = 0,5) penalizează dezechilibrele, deci un punct slab nu e ascuns de unul forte.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29"/>
        <w:gridCol w:w="7530"/>
      </w:tblGrid>
      <w:tr>
        <w:trPr>
          <w:tblHeader/>
        </w:trPr>
        <w:tc>
          <w:tcPr>
            <w:tcW w:w="1829" w:type="dxa"/>
            <w:shd w:val="clear" w:color="auto" w:fill="F2F2F2"/>
          </w:tcPr>
          <w:p>
            <w:pPr/>
            <w:r>
              <w:t xml:space="preserve">Scor</w:t>
            </w:r>
          </w:p>
        </w:tc>
        <w:tc>
          <w:tcPr>
            <w:tcW w:w="7530" w:type="dxa"/>
            <w:shd w:val="clear" w:color="auto" w:fill="F2F2F2"/>
          </w:tcPr>
          <w:p>
            <w:pPr/>
            <w:r>
              <w:t xml:space="preserve">Semnificație</w:t>
            </w:r>
          </w:p>
        </w:tc>
      </w:tr>
      <w:tr>
        <w:tc>
          <w:tcPr>
            <w:tcW w:w="1829" w:type="dxa"/>
          </w:tcPr>
          <w:p>
            <w:pPr/>
            <w:r>
              <w:t xml:space="preserve">8,5-10</w:t>
            </w:r>
          </w:p>
        </w:tc>
        <w:tc>
          <w:tcPr>
            <w:tcW w:w="7530" w:type="dxa"/>
          </w:tcPr>
          <w:p>
            <w:pPr/>
            <w:r>
              <w:t xml:space="preserve">Oportunitate excepțională</w:t>
            </w:r>
          </w:p>
        </w:tc>
      </w:tr>
      <w:tr>
        <w:tc>
          <w:tcPr>
            <w:tcW w:w="1829" w:type="dxa"/>
          </w:tcPr>
          <w:p>
            <w:pPr/>
            <w:r>
              <w:t xml:space="preserve">7-8,4</w:t>
            </w:r>
          </w:p>
        </w:tc>
        <w:tc>
          <w:tcPr>
            <w:tcW w:w="7530" w:type="dxa"/>
          </w:tcPr>
          <w:p>
            <w:pPr/>
            <w:r>
              <w:t xml:space="preserve">Bun, merită ofertă</w:t>
            </w:r>
          </w:p>
        </w:tc>
      </w:tr>
      <w:tr>
        <w:tc>
          <w:tcPr>
            <w:tcW w:w="1829" w:type="dxa"/>
          </w:tcPr>
          <w:p>
            <w:pPr/>
            <w:r>
              <w:t xml:space="preserve">5,5-6,9</w:t>
            </w:r>
          </w:p>
        </w:tc>
        <w:tc>
          <w:tcPr>
            <w:tcW w:w="7530" w:type="dxa"/>
          </w:tcPr>
          <w:p>
            <w:pPr/>
            <w:r>
              <w:t xml:space="preserve">Acceptabil, cu compromisuri clare</w:t>
            </w:r>
          </w:p>
        </w:tc>
      </w:tr>
      <w:tr>
        <w:tc>
          <w:tcPr>
            <w:tcW w:w="1829" w:type="dxa"/>
          </w:tcPr>
          <w:p>
            <w:pPr/>
            <w:r>
              <w:t xml:space="preserve">4-5,4</w:t>
            </w:r>
          </w:p>
        </w:tc>
        <w:tc>
          <w:tcPr>
            <w:tcW w:w="7530" w:type="dxa"/>
          </w:tcPr>
          <w:p>
            <w:pPr/>
            <w:r>
              <w:t xml:space="preserve">Slab, doar la preț mult renegociat</w:t>
            </w:r>
          </w:p>
        </w:tc>
      </w:tr>
      <w:tr>
        <w:tc>
          <w:tcPr>
            <w:tcW w:w="1829" w:type="dxa"/>
          </w:tcPr>
          <w:p>
            <w:pPr/>
            <w:r>
              <w:t xml:space="preserve">sub 4</w:t>
            </w:r>
          </w:p>
        </w:tc>
        <w:tc>
          <w:tcPr>
            <w:tcW w:w="7530" w:type="dxa"/>
          </w:tcPr>
          <w:p>
            <w:pPr/>
            <w:r>
              <w:t xml:space="preserve">De evitat</w:t>
            </w:r>
          </w:p>
        </w:tc>
      </w:tr>
    </w:tbl>
    <w:p>
      <w:pPr>
        <w:pStyle w:val="Heading2"/>
      </w:pPr>
      <w:r>
        <w:t xml:space="preserve">9. Încredere, sensibilitate și calibrare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Coeficient de încredere</w:t>
      </w:r>
      <w:r>
        <w:t xml:space="preserve"> pe dată: document oficial = 1,0, măsurat direct = 0,7, estimat = 0,5, presupunere = 0,2. Încrederea totală este media ponderată cu ponderile indicatorilor.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Monte Carlo (1.000 de simulări):</w:t>
      </w:r>
      <w:r>
        <w:t xml:space="preserve"> variezi chiria cu ±10%, </w:t>
      </w:r>
      <w:r>
        <w:rPr>
          <w:rStyle w:val="CodeChar"/>
        </w:rPr>
        <w:t xml:space="preserve">P_fair</w:t>
      </w:r>
      <w:r>
        <w:t xml:space="preserve"> cu ±6%, vacanța cu ±1 lună, </w:t>
      </w:r>
      <w:r>
        <w:rPr>
          <w:rStyle w:val="CodeChar"/>
        </w:rPr>
        <w:t xml:space="preserve">g</w:t>
      </w:r>
      <w:r>
        <w:t xml:space="preserve"> cu ±2 puncte procentuale, costurile cu ±20%. Raportezi fiecare scor ca interval, de exemplu „PA 5,3 (4,4-6,2)”.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Sensibilitate:</w:t>
      </w:r>
      <w:r>
        <w:t xml:space="preserve"> arăți care parametru mișcă cel mai mult scorul (de obicei chiria, prețul de negociere și creșterea de preț).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Calibrare:</w:t>
      </w:r>
      <w:r>
        <w:t xml:space="preserve"> rulezi modelul pe 100-200 de anunțuri și ajustezi pragurile astfel încât mediana să fie ≈ 5, iar cel mai bun sfert ≈ 7,5.</w:t>
      </w:r>
    </w:p>
    <w:p>
      <w:pPr>
        <w:pStyle w:val="Heading2"/>
      </w:pPr>
      <w:r>
        <w:t xml:space="preserve">10. Exemplu numeric (ilustrativ, pe mediile Storia)</w:t>
      </w:r>
    </w:p>
    <w:p>
      <w:pPr/>
      <w:r>
        <w:t xml:space="preserve">Apartament 2 camere: preț cerut 171.500 €, chirie 560 €/lună, negociere 3%.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477"/>
        <w:gridCol w:w="2070"/>
        <w:gridCol w:w="1811"/>
      </w:tblGrid>
      <w:tr>
        <w:trPr>
          <w:tblHeader/>
        </w:trPr>
        <w:tc>
          <w:tcPr>
            <w:tcW w:w="5477" w:type="dxa"/>
            <w:shd w:val="clear" w:color="auto" w:fill="F2F2F2"/>
          </w:tcPr>
          <w:p>
            <w:pPr/>
            <w:r>
              <w:t xml:space="preserve">Pas</w:t>
            </w:r>
          </w:p>
        </w:tc>
        <w:tc>
          <w:tcPr>
            <w:tcW w:w="2070" w:type="dxa"/>
            <w:shd w:val="clear" w:color="auto" w:fill="F2F2F2"/>
          </w:tcPr>
          <w:p>
            <w:pPr/>
            <w:r>
              <w:t xml:space="preserve">Calcul</w:t>
            </w:r>
          </w:p>
        </w:tc>
        <w:tc>
          <w:tcPr>
            <w:tcW w:w="1811" w:type="dxa"/>
            <w:shd w:val="clear" w:color="auto" w:fill="F2F2F2"/>
          </w:tcPr>
          <w:p>
            <w:pPr/>
            <w:r>
              <w:t xml:space="preserve">Rezultat</w:t>
            </w:r>
          </w:p>
        </w:tc>
      </w:tr>
      <w:tr>
        <w:tc>
          <w:tcPr>
            <w:tcW w:w="5477" w:type="dxa"/>
          </w:tcPr>
          <w:p>
            <w:pPr/>
            <w:r>
              <w:t xml:space="preserve">Venit efectiv</w:t>
            </w:r>
          </w:p>
        </w:tc>
        <w:tc>
          <w:tcPr>
            <w:tcW w:w="2070" w:type="dxa"/>
          </w:tcPr>
          <w:p>
            <w:pPr/>
            <w:r>
              <w:t xml:space="preserve">560 × 11,5</w:t>
            </w:r>
          </w:p>
        </w:tc>
        <w:tc>
          <w:tcPr>
            <w:tcW w:w="1811" w:type="dxa"/>
          </w:tcPr>
          <w:p>
            <w:pPr/>
            <w:r>
              <w:t xml:space="preserve">6.440 €</w:t>
            </w:r>
          </w:p>
        </w:tc>
      </w:tr>
      <w:tr>
        <w:tc>
          <w:tcPr>
            <w:tcW w:w="5477" w:type="dxa"/>
          </w:tcPr>
          <w:p>
            <w:pPr/>
            <w:r>
              <w:t xml:space="preserve">Opex (impozit local 150, asigurare 80, mentenanță 0,5% = 860, alte 150)</w:t>
            </w:r>
          </w:p>
        </w:tc>
        <w:tc>
          <w:tcPr>
            <w:tcW w:w="2070" w:type="dxa"/>
          </w:tcPr>
          <w:p>
            <w:pPr/>
          </w:p>
        </w:tc>
        <w:tc>
          <w:tcPr>
            <w:tcW w:w="1811" w:type="dxa"/>
          </w:tcPr>
          <w:p>
            <w:pPr/>
            <w:r>
              <w:t xml:space="preserve">≈ 1.240 €</w:t>
            </w:r>
          </w:p>
        </w:tc>
      </w:tr>
      <w:tr>
        <w:tc>
          <w:tcPr>
            <w:tcW w:w="5477" w:type="dxa"/>
          </w:tcPr>
          <w:p>
            <w:pPr/>
            <w:r>
              <w:t xml:space="preserve">Impozit pe chirii</w:t>
            </w:r>
          </w:p>
        </w:tc>
        <w:tc>
          <w:tcPr>
            <w:tcW w:w="2070" w:type="dxa"/>
          </w:tcPr>
          <w:p>
            <w:pPr/>
            <w:r>
              <w:t xml:space="preserve">8% × 6.440</w:t>
            </w:r>
          </w:p>
        </w:tc>
        <w:tc>
          <w:tcPr>
            <w:tcW w:w="1811" w:type="dxa"/>
          </w:tcPr>
          <w:p>
            <w:pPr/>
            <w:r>
              <w:t xml:space="preserve">≈ 515 €</w:t>
            </w:r>
          </w:p>
        </w:tc>
      </w:tr>
      <w:tr>
        <w:tc>
          <w:tcPr>
            <w:tcW w:w="5477" w:type="dxa"/>
          </w:tcPr>
          <w:p>
            <w:pPr/>
            <w:r>
              <w:t xml:space="preserve">NOI net (fără CASS)</w:t>
            </w:r>
          </w:p>
        </w:tc>
        <w:tc>
          <w:tcPr>
            <w:tcW w:w="2070" w:type="dxa"/>
          </w:tcPr>
          <w:p>
            <w:pPr/>
          </w:p>
        </w:tc>
        <w:tc>
          <w:tcPr>
            <w:tcW w:w="1811" w:type="dxa"/>
          </w:tcPr>
          <w:p>
            <w:pPr/>
            <w:r>
              <w:t xml:space="preserve">≈ 4.685 €</w:t>
            </w:r>
          </w:p>
        </w:tc>
      </w:tr>
      <w:tr>
        <w:tc>
          <w:tcPr>
            <w:tcW w:w="5477" w:type="dxa"/>
          </w:tcPr>
          <w:p>
            <w:pPr/>
            <w:r>
              <w:t xml:space="preserve">Preț tranzacție</w:t>
            </w:r>
          </w:p>
        </w:tc>
        <w:tc>
          <w:tcPr>
            <w:tcW w:w="2070" w:type="dxa"/>
          </w:tcPr>
          <w:p>
            <w:pPr/>
            <w:r>
              <w:t xml:space="preserve">171.500 × 0,97</w:t>
            </w:r>
          </w:p>
        </w:tc>
        <w:tc>
          <w:tcPr>
            <w:tcW w:w="1811" w:type="dxa"/>
          </w:tcPr>
          <w:p>
            <w:pPr/>
            <w:r>
              <w:t xml:space="preserve">166.355 €</w:t>
            </w:r>
          </w:p>
        </w:tc>
      </w:tr>
      <w:tr>
        <w:tc>
          <w:tcPr>
            <w:tcW w:w="5477" w:type="dxa"/>
          </w:tcPr>
          <w:p>
            <w:pPr/>
            <w:r>
              <w:t xml:space="preserve">TCA (2% costuri + 5.000 € renovare/mobilare)</w:t>
            </w:r>
          </w:p>
        </w:tc>
        <w:tc>
          <w:tcPr>
            <w:tcW w:w="2070" w:type="dxa"/>
          </w:tcPr>
          <w:p>
            <w:pPr/>
          </w:p>
        </w:tc>
        <w:tc>
          <w:tcPr>
            <w:tcW w:w="1811" w:type="dxa"/>
          </w:tcPr>
          <w:p>
            <w:pPr/>
            <w:r>
              <w:t xml:space="preserve">≈ 174.700 €</w:t>
            </w:r>
          </w:p>
        </w:tc>
      </w:tr>
      <w:tr>
        <w:tc>
          <w:tcPr>
            <w:tcW w:w="5477" w:type="dxa"/>
          </w:tcPr>
          <w:p>
            <w:pPr/>
            <w:r>
              <w:t xml:space="preserve">Randament net</w:t>
            </w:r>
          </w:p>
        </w:tc>
        <w:tc>
          <w:tcPr>
            <w:tcW w:w="2070" w:type="dxa"/>
          </w:tcPr>
          <w:p>
            <w:pPr/>
            <w:r>
              <w:t xml:space="preserve">4.685 / 174.700</w:t>
            </w:r>
          </w:p>
        </w:tc>
        <w:tc>
          <w:tcPr>
            <w:tcW w:w="1811" w:type="dxa"/>
          </w:tcPr>
          <w:p>
            <w:pPr/>
            <w:r>
              <w:t xml:space="preserve">≈ 2,7%</w:t>
            </w:r>
          </w:p>
        </w:tc>
      </w:tr>
    </w:tbl>
    <w:p>
      <w:pPr/>
      <w:r>
        <w:rPr>
          <w:b/>
        </w:rPr>
        <w:t xml:space="preserve">Y1 = Lin(2,7%; 1,5%, 5,0%) ≈ 4,0.</w:t>
      </w:r>
      <w:r>
        <w:t xml:space="preserve"> Cu 3,9% brut, randamentul net sub 3% e normal în Cluj. Dacă apartamentul are un scor mare la PA și LR, investiția se justifică prin apreciere și ieșire ușoară, nu prin chirie.</w:t>
      </w:r>
    </w:p>
    <w:p>
      <w:pPr>
        <w:pStyle w:val="Heading2"/>
      </w:pPr>
      <w:r>
        <w:t xml:space="preserve">11. Limitări</w:t>
      </w:r>
    </w:p>
    <w:p>
      <w:pPr>
        <w:pStyle w:val="ListParagraph"/>
        <w:numPr>
          <w:ilvl w:val="0"/>
          <w:numId w:val="7"/>
        </w:numPr>
      </w:pPr>
      <w:r>
        <w:t xml:space="preserve">Chiriile și prețurile din surse sunt valori </w:t>
      </w:r>
      <w:r>
        <w:rPr>
          <w:b/>
        </w:rPr>
        <w:t xml:space="preserve">cerute</w:t>
      </w:r>
      <w:r>
        <w:t xml:space="preserve">, nu contractate. Randamentele publicate (de exemplu 3,9% brut) sunt medii pe oraș și pot varia mult pe microzone.</w:t>
      </w:r>
    </w:p>
    <w:p>
      <w:pPr>
        <w:pStyle w:val="ListParagraph"/>
        <w:numPr>
          <w:ilvl w:val="0"/>
          <w:numId w:val="7"/>
        </w:numPr>
      </w:pPr>
      <w:r>
        <w:t xml:space="preserve">Nu există date publice complete despre tranzacții reale, așa că lichiditatea se estimează din anunțuri.</w:t>
      </w:r>
    </w:p>
    <w:p>
      <w:pPr>
        <w:pStyle w:val="ListParagraph"/>
        <w:numPr>
          <w:ilvl w:val="0"/>
          <w:numId w:val="7"/>
        </w:numPr>
      </w:pPr>
      <w:r>
        <w:t xml:space="preserve">Cotele fiscale, plafoanele CASS și programele de creditare se modifică des. Verifică-le înainte de fiecare analiză.</w:t>
      </w:r>
    </w:p>
    <w:p>
      <w:pPr>
        <w:pStyle w:val="ListParagraph"/>
        <w:numPr>
          <w:ilvl w:val="0"/>
          <w:numId w:val="7"/>
        </w:numPr>
      </w:pPr>
      <w:r>
        <w:t xml:space="preserve">Algoritmul ordonează și disciplinează decizia, dar nu înlocuiește verificarea juridică (notar sau avocat), expertiza tehnică a clădirii și un consultant financiar sau fiscal. Nu sunt avocat sau consultant financiar.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Algoritm de scorare pentru investiția într-un apartament în Cluj-Napoca</dc:title>
  <dc:description>Claude Docs node/edd0490a-b00c@1 docx-w7</dc:description>
  <cp:revision>1</cp:revision>
</cp:coreProperties>
</file>