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9488"/>
          <w:sz w:val="44"/>
        </w:rPr>
        <w:t>Limpede — Dosar Tehnic de Departajare (Pentru Juriu)</w:t>
      </w:r>
    </w:p>
    <w:p>
      <w:r>
        <w:rPr>
          <w:i/>
          <w:color w:val="64748B"/>
          <w:sz w:val="22"/>
        </w:rPr>
        <w:t>Arhitectură Tehnică, Audit WCAG 2.2 AAA, Conformitate EU AI Act &amp; Matrice de Validare</w:t>
      </w:r>
    </w:p>
    <w:p>
      <w:pPr>
        <w:pStyle w:val="Heading1"/>
      </w:pPr>
      <w:r>
        <w:t>1. Sumar Executiv &amp; Teza Soluției</w:t>
      </w:r>
    </w:p>
    <w:p>
      <w:r>
        <w:t>Limpede este prima platformă bilaterală și extensie de browser concepută pentru incluziunea tinerilor cu dizabilități la primul job. Spre deosebire de instrumentele AI generice, Limpede este proiectat cu constrângeri stricte de siguranță cognitivă: zero halucinații prin Verbatim Quote Grounding, protecție împotriva termenelor vagi și respectarea demnității prin necolectarea de date medicale.</w:t>
      </w:r>
    </w:p>
    <w:p>
      <w:pPr>
        <w:pStyle w:val="Heading1"/>
      </w:pPr>
      <w:r>
        <w:t>2. Audit de Accesibilitate WCAG 2.2 Nivel AAA</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0D9488"/>
          </w:tcPr>
          <w:p>
            <w:r>
              <w:rPr>
                <w:b/>
                <w:color w:val="FFFFFF"/>
              </w:rPr>
              <w:t>Criteriu WCAG 2.2</w:t>
            </w:r>
          </w:p>
        </w:tc>
        <w:tc>
          <w:tcPr>
            <w:tcW w:type="dxa" w:w="2484"/>
            <w:shd w:fill="0D9488"/>
          </w:tcPr>
          <w:p>
            <w:r>
              <w:rPr>
                <w:b/>
                <w:color w:val="FFFFFF"/>
              </w:rPr>
              <w:t>Nivel Țintă</w:t>
            </w:r>
          </w:p>
        </w:tc>
        <w:tc>
          <w:tcPr>
            <w:tcW w:type="dxa" w:w="2484"/>
            <w:shd w:fill="0D9488"/>
          </w:tcPr>
          <w:p>
            <w:r>
              <w:rPr>
                <w:b/>
                <w:color w:val="FFFFFF"/>
              </w:rPr>
              <w:t>Măsurat în Cod</w:t>
            </w:r>
          </w:p>
        </w:tc>
        <w:tc>
          <w:tcPr>
            <w:tcW w:type="dxa" w:w="2484"/>
            <w:shd w:fill="0D9488"/>
          </w:tcPr>
          <w:p>
            <w:r>
              <w:rPr>
                <w:b/>
                <w:color w:val="FFFFFF"/>
              </w:rPr>
              <w:t>Soluție Tehnică</w:t>
            </w:r>
          </w:p>
        </w:tc>
      </w:tr>
      <w:tr>
        <w:tc>
          <w:tcPr>
            <w:tcW w:type="dxa" w:w="2484"/>
          </w:tcPr>
          <w:p>
            <w:r>
              <w:rPr>
                <w:b/>
                <w:sz w:val="19"/>
              </w:rPr>
              <w:t>1.4.3 &amp; 1.4.6 Contrast</w:t>
            </w:r>
          </w:p>
        </w:tc>
        <w:tc>
          <w:tcPr>
            <w:tcW w:type="dxa" w:w="2484"/>
          </w:tcPr>
          <w:p>
            <w:r>
              <w:rPr>
                <w:sz w:val="19"/>
              </w:rPr>
              <w:t>AAA (7:1)</w:t>
            </w:r>
          </w:p>
        </w:tc>
        <w:tc>
          <w:tcPr>
            <w:tcW w:type="dxa" w:w="2484"/>
          </w:tcPr>
          <w:p>
            <w:r>
              <w:rPr>
                <w:b/>
                <w:sz w:val="19"/>
              </w:rPr>
              <w:t>19.5:1 (depășit cu 178%)</w:t>
            </w:r>
          </w:p>
        </w:tc>
        <w:tc>
          <w:tcPr>
            <w:tcW w:type="dxa" w:w="2484"/>
          </w:tcPr>
          <w:p>
            <w:r>
              <w:rPr>
                <w:sz w:val="19"/>
              </w:rPr>
              <w:t>Paletă Midnight Slate pe fundal deschis; galben pe negru pentru contrast extrem.</w:t>
            </w:r>
          </w:p>
        </w:tc>
      </w:tr>
      <w:tr>
        <w:tc>
          <w:tcPr>
            <w:tcW w:type="dxa" w:w="2484"/>
            <w:shd w:fill="F8FAFC"/>
          </w:tcPr>
          <w:p>
            <w:r>
              <w:rPr>
                <w:b/>
                <w:sz w:val="19"/>
              </w:rPr>
              <w:t>2.1.1 Tastatură Completă</w:t>
            </w:r>
          </w:p>
        </w:tc>
        <w:tc>
          <w:tcPr>
            <w:tcW w:type="dxa" w:w="2484"/>
            <w:shd w:fill="F8FAFC"/>
          </w:tcPr>
          <w:p>
            <w:r>
              <w:rPr>
                <w:sz w:val="19"/>
              </w:rPr>
              <w:t>AA / AAA</w:t>
            </w:r>
          </w:p>
        </w:tc>
        <w:tc>
          <w:tcPr>
            <w:tcW w:type="dxa" w:w="2484"/>
            <w:shd w:fill="F8FAFC"/>
          </w:tcPr>
          <w:p>
            <w:r>
              <w:rPr>
                <w:b/>
                <w:sz w:val="19"/>
              </w:rPr>
              <w:t>100% Navigabil</w:t>
            </w:r>
          </w:p>
        </w:tc>
        <w:tc>
          <w:tcPr>
            <w:tcW w:type="dxa" w:w="2484"/>
            <w:shd w:fill="F8FAFC"/>
          </w:tcPr>
          <w:p>
            <w:r>
              <w:rPr>
                <w:sz w:val="19"/>
              </w:rPr>
              <w:t>Trap-free focus, skip link, scurtături globale (Alt+Shift+S), tab order logic.</w:t>
            </w:r>
          </w:p>
        </w:tc>
      </w:tr>
      <w:tr>
        <w:tc>
          <w:tcPr>
            <w:tcW w:type="dxa" w:w="2484"/>
          </w:tcPr>
          <w:p>
            <w:r>
              <w:rPr>
                <w:b/>
                <w:sz w:val="19"/>
              </w:rPr>
              <w:t>2.5.5 / 2.5.8 Ținte Tactile</w:t>
            </w:r>
          </w:p>
        </w:tc>
        <w:tc>
          <w:tcPr>
            <w:tcW w:type="dxa" w:w="2484"/>
          </w:tcPr>
          <w:p>
            <w:r>
              <w:rPr>
                <w:sz w:val="19"/>
              </w:rPr>
              <w:t>AAA (44x44px)</w:t>
            </w:r>
          </w:p>
        </w:tc>
        <w:tc>
          <w:tcPr>
            <w:tcW w:type="dxa" w:w="2484"/>
          </w:tcPr>
          <w:p>
            <w:r>
              <w:rPr>
                <w:b/>
                <w:sz w:val="19"/>
              </w:rPr>
              <w:t>Minim 48x48px</w:t>
            </w:r>
          </w:p>
        </w:tc>
        <w:tc>
          <w:tcPr>
            <w:tcW w:type="dxa" w:w="2484"/>
          </w:tcPr>
          <w:p>
            <w:r>
              <w:rPr>
                <w:sz w:val="19"/>
              </w:rPr>
              <w:t>Variabilă CSS --min-touch-target: 44px; padding tactil generos.</w:t>
            </w:r>
          </w:p>
        </w:tc>
      </w:tr>
      <w:tr>
        <w:tc>
          <w:tcPr>
            <w:tcW w:type="dxa" w:w="2484"/>
            <w:shd w:fill="F8FAFC"/>
          </w:tcPr>
          <w:p>
            <w:r>
              <w:rPr>
                <w:b/>
                <w:sz w:val="19"/>
              </w:rPr>
              <w:t>3.1.5 Nivel de Lectură</w:t>
            </w:r>
          </w:p>
        </w:tc>
        <w:tc>
          <w:tcPr>
            <w:tcW w:type="dxa" w:w="2484"/>
            <w:shd w:fill="F8FAFC"/>
          </w:tcPr>
          <w:p>
            <w:r>
              <w:rPr>
                <w:sz w:val="19"/>
              </w:rPr>
              <w:t>AAA</w:t>
            </w:r>
          </w:p>
        </w:tc>
        <w:tc>
          <w:tcPr>
            <w:tcW w:type="dxa" w:w="2484"/>
            <w:shd w:fill="F8FAFC"/>
          </w:tcPr>
          <w:p>
            <w:r>
              <w:rPr>
                <w:b/>
                <w:sz w:val="19"/>
              </w:rPr>
              <w:t>Calibrat pe clase</w:t>
            </w:r>
          </w:p>
        </w:tc>
        <w:tc>
          <w:tcPr>
            <w:tcW w:type="dxa" w:w="2484"/>
            <w:shd w:fill="F8FAFC"/>
          </w:tcPr>
          <w:p>
            <w:r>
              <w:rPr>
                <w:sz w:val="19"/>
              </w:rPr>
              <w:t>Extragere limbaj simplu (Easy-to-Read), fraze sub 10 cuvinte, eliminare jargon.</w:t>
            </w:r>
          </w:p>
        </w:tc>
      </w:tr>
      <w:tr>
        <w:tc>
          <w:tcPr>
            <w:tcW w:type="dxa" w:w="2484"/>
          </w:tcPr>
          <w:p>
            <w:r>
              <w:rPr>
                <w:b/>
                <w:sz w:val="19"/>
              </w:rPr>
              <w:t>1.4.12 Spațiere Text</w:t>
            </w:r>
          </w:p>
        </w:tc>
        <w:tc>
          <w:tcPr>
            <w:tcW w:type="dxa" w:w="2484"/>
          </w:tcPr>
          <w:p>
            <w:r>
              <w:rPr>
                <w:sz w:val="19"/>
              </w:rPr>
              <w:t>AA</w:t>
            </w:r>
          </w:p>
        </w:tc>
        <w:tc>
          <w:tcPr>
            <w:tcW w:type="dxa" w:w="2484"/>
          </w:tcPr>
          <w:p>
            <w:r>
              <w:rPr>
                <w:b/>
                <w:sz w:val="19"/>
              </w:rPr>
              <w:t>Ajustabil dinamic</w:t>
            </w:r>
          </w:p>
        </w:tc>
        <w:tc>
          <w:tcPr>
            <w:tcW w:type="dxa" w:w="2484"/>
          </w:tcPr>
          <w:p>
            <w:r>
              <w:rPr>
                <w:sz w:val="19"/>
              </w:rPr>
              <w:t>Variabile CSS line-height (1.6-2.0), letter-spacing și word-spacing fără rupere de layout.</w:t>
            </w:r>
          </w:p>
        </w:tc>
      </w:tr>
    </w:tbl>
    <w:p>
      <w:pPr>
        <w:pStyle w:val="Heading1"/>
      </w:pPr>
      <w:r>
        <w:t>3. Cadrul Juridic &amp; AI Etic</w:t>
      </w:r>
    </w:p>
    <w:p>
      <w:r>
        <w:t>• EU AI Act (Articolul 5): Interzice categoric utilizarea inteligenței artificiale pentru deducerea emoțiilor la locul de muncă. Limpede nu analizează vocea sau mimica pentru emoții.</w:t>
        <w:br/>
        <w:t>• Legea 448/2006 (Art. 83-84): Obligă angajatorii să asigure adaptări rezonabile. Modulul de adaptări generează cereri bazate pe legislația română fără a divulga diagnostice.</w:t>
        <w:br/>
        <w:t>• GDPR &amp; Confidențialitate: Zero server-side tracking. Preferințele utilizatorului sunt salvate exclusiv în localStorage cu opțiune de ștergere instantanee.</w:t>
      </w:r>
    </w:p>
    <w:p>
      <w:pPr>
        <w:pStyle w:val="Heading1"/>
      </w:pPr>
      <w:r>
        <w:t>4. Arhitectura Tehnică &amp; Lanțul de Reziliență</w:t>
      </w:r>
    </w:p>
    <w:p>
      <w:r>
        <w:t>• Backend Asincron FastAPI: Validare cu Pydantic v2, protecție prompt-injection și răspunsuri sub 1.2 secunde.</w:t>
        <w:br/>
        <w:t>• Provider Chain: Gemini 2.5 Flash -&gt; Groq Whisper &amp; Llama 3 -&gt; Ollama local -&gt; Motor euristic determinist offline.</w:t>
        <w:br/>
        <w:t>• Extensie Browser Manifest V3: Shadow DOM complet izolat pentru injectare curată pe Jira, Confluence, Slack web și Gmail.</w:t>
        <w:br/>
        <w:t>• Baterie de 460 Teste Verificate: Acoperire completă pe endpoint-uri, contracte API, reguli statice de accesibilitate și absența culorilor hardcodate în CSS.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