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68"/>
          <w:sz w:val="40"/>
        </w:rPr>
        <w:t>basel_bad PD model — Executive Brief</w:t>
      </w:r>
    </w:p>
    <w:p>
      <w:r>
        <w:rPr>
          <w:i/>
          <w:color w:val="6B7280"/>
          <w:sz w:val="20"/>
        </w:rPr>
        <w:t>Credit committee summary · 2026-04-30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36"/>
              </w:rPr>
              <w:t>DEPLOY: Logistic Regression (calibrated)</w:t>
            </w:r>
          </w:p>
          <w:p>
            <w:pPr>
              <w:jc w:val="center"/>
            </w:pPr>
            <w:r>
              <w:rPr>
                <w:i/>
                <w:color w:val="FFFFFF"/>
                <w:sz w:val="22"/>
              </w:rPr>
              <w:t>Weighted selection score 95.0/100 (floor 50)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376"/>
            <w:shd w:val="clear" w:color="auto" w:fill="F1F5F9"/>
            <w:vAlign w:val="center"/>
          </w:tcPr>
          <w:p>
            <w:pPr>
              <w:jc w:val="center"/>
            </w:pPr>
            <w:r/>
            <w:r>
              <w:rPr>
                <w:color w:val="556575"/>
                <w:sz w:val="18"/>
              </w:rPr>
              <w:t>ROC AUC</w:t>
            </w:r>
          </w:p>
          <w:p>
            <w:pPr>
              <w:jc w:val="center"/>
            </w:pPr>
            <w:r>
              <w:rPr>
                <w:b/>
                <w:color w:val="1F3A68"/>
                <w:sz w:val="40"/>
              </w:rPr>
              <w:t>0.6673</w:t>
            </w:r>
          </w:p>
          <w:p>
            <w:pPr>
              <w:jc w:val="center"/>
            </w:pPr>
            <w:r>
              <w:rPr>
                <w:i/>
                <w:color w:val="6B7280"/>
                <w:sz w:val="16"/>
              </w:rPr>
              <w:t>95% CI [0.646, 0.682]</w:t>
            </w:r>
          </w:p>
        </w:tc>
        <w:tc>
          <w:tcPr>
            <w:tcW w:type="dxa" w:w="2376"/>
            <w:shd w:val="clear" w:color="auto" w:fill="F1F5F9"/>
            <w:vAlign w:val="center"/>
          </w:tcPr>
          <w:p>
            <w:pPr>
              <w:jc w:val="center"/>
            </w:pPr>
            <w:r/>
            <w:r>
              <w:rPr>
                <w:color w:val="556575"/>
                <w:sz w:val="18"/>
              </w:rPr>
              <w:t>Gini</w:t>
            </w:r>
          </w:p>
          <w:p>
            <w:pPr>
              <w:jc w:val="center"/>
            </w:pPr>
            <w:r>
              <w:rPr>
                <w:b/>
                <w:color w:val="1F3A68"/>
                <w:sz w:val="40"/>
              </w:rPr>
              <w:t>0.3347</w:t>
            </w:r>
          </w:p>
        </w:tc>
        <w:tc>
          <w:tcPr>
            <w:tcW w:type="dxa" w:w="2376"/>
            <w:shd w:val="clear" w:color="auto" w:fill="F1F5F9"/>
            <w:vAlign w:val="center"/>
          </w:tcPr>
          <w:p>
            <w:pPr>
              <w:jc w:val="center"/>
            </w:pPr>
            <w:r/>
            <w:r>
              <w:rPr>
                <w:color w:val="556575"/>
                <w:sz w:val="18"/>
              </w:rPr>
              <w:t>KS statistic</w:t>
            </w:r>
          </w:p>
          <w:p>
            <w:pPr>
              <w:jc w:val="center"/>
            </w:pPr>
            <w:r>
              <w:rPr>
                <w:b/>
                <w:color w:val="1F3A68"/>
                <w:sz w:val="40"/>
              </w:rPr>
              <w:t>0.2617</w:t>
            </w:r>
          </w:p>
        </w:tc>
        <w:tc>
          <w:tcPr>
            <w:tcW w:type="dxa" w:w="2376"/>
            <w:shd w:val="clear" w:color="auto" w:fill="F1F5F9"/>
            <w:vAlign w:val="center"/>
          </w:tcPr>
          <w:p>
            <w:pPr>
              <w:jc w:val="center"/>
            </w:pPr>
            <w:r/>
            <w:r>
              <w:rPr>
                <w:color w:val="556575"/>
                <w:sz w:val="18"/>
              </w:rPr>
              <w:t>PR AUC</w:t>
            </w:r>
          </w:p>
          <w:p>
            <w:pPr>
              <w:jc w:val="center"/>
            </w:pPr>
            <w:r>
              <w:rPr>
                <w:b/>
                <w:color w:val="1F3A68"/>
                <w:sz w:val="40"/>
              </w:rPr>
              <w:t>0.0648</w:t>
            </w:r>
          </w:p>
          <w:p>
            <w:pPr>
              <w:jc w:val="center"/>
            </w:pPr>
            <w:r>
              <w:rPr>
                <w:i/>
                <w:color w:val="6B7280"/>
                <w:sz w:val="16"/>
              </w:rPr>
              <w:t>95% CI [0.057, 0.073]</w:t>
            </w:r>
          </w:p>
        </w:tc>
      </w:tr>
      <w:tr>
        <w:tc>
          <w:tcPr>
            <w:tcW w:type="dxa" w:w="2376"/>
            <w:shd w:val="clear" w:color="auto" w:fill="F1F5F9"/>
            <w:vAlign w:val="center"/>
          </w:tcPr>
          <w:p>
            <w:pPr>
              <w:jc w:val="center"/>
            </w:pPr>
            <w:r/>
            <w:r>
              <w:rPr>
                <w:color w:val="556575"/>
                <w:sz w:val="18"/>
              </w:rPr>
              <w:t>Calibrated Brier</w:t>
            </w:r>
          </w:p>
          <w:p>
            <w:pPr>
              <w:jc w:val="center"/>
            </w:pPr>
            <w:r>
              <w:rPr>
                <w:b/>
                <w:color w:val="1F3A68"/>
                <w:sz w:val="40"/>
              </w:rPr>
              <w:t>0.0366</w:t>
            </w:r>
          </w:p>
          <w:p>
            <w:pPr>
              <w:jc w:val="center"/>
            </w:pPr>
            <w:r>
              <w:rPr>
                <w:i/>
                <w:color w:val="6B7280"/>
                <w:sz w:val="16"/>
              </w:rPr>
              <w:t>lower = better</w:t>
            </w:r>
          </w:p>
        </w:tc>
        <w:tc>
          <w:tcPr>
            <w:tcW w:type="dxa" w:w="2376"/>
            <w:shd w:val="clear" w:color="auto" w:fill="F1F5F9"/>
            <w:vAlign w:val="center"/>
          </w:tcPr>
          <w:p>
            <w:pPr>
              <w:jc w:val="center"/>
            </w:pPr>
            <w:r/>
            <w:r>
              <w:rPr>
                <w:color w:val="556575"/>
                <w:sz w:val="18"/>
              </w:rPr>
              <w:t>ECE</w:t>
            </w:r>
          </w:p>
          <w:p>
            <w:pPr>
              <w:jc w:val="center"/>
            </w:pPr>
            <w:r>
              <w:rPr>
                <w:b/>
                <w:color w:val="1F3A68"/>
                <w:sz w:val="40"/>
              </w:rPr>
              <w:t>n/a</w:t>
            </w:r>
          </w:p>
          <w:p>
            <w:pPr>
              <w:jc w:val="center"/>
            </w:pPr>
            <w:r>
              <w:rPr>
                <w:i/>
                <w:color w:val="6B7280"/>
                <w:sz w:val="16"/>
              </w:rPr>
              <w:t>calibration error</w:t>
            </w:r>
          </w:p>
        </w:tc>
        <w:tc>
          <w:tcPr>
            <w:tcW w:type="dxa" w:w="2376"/>
            <w:shd w:val="clear" w:color="auto" w:fill="F1F5F9"/>
            <w:vAlign w:val="center"/>
          </w:tcPr>
          <w:p>
            <w:pPr>
              <w:jc w:val="center"/>
            </w:pPr>
            <w:r/>
            <w:r>
              <w:rPr>
                <w:color w:val="556575"/>
                <w:sz w:val="18"/>
              </w:rPr>
              <w:t>Top-10% capture</w:t>
            </w:r>
          </w:p>
          <w:p>
            <w:pPr>
              <w:jc w:val="center"/>
            </w:pPr>
            <w:r>
              <w:rPr>
                <w:b/>
                <w:color w:val="1F3A68"/>
                <w:sz w:val="40"/>
              </w:rPr>
              <w:t>20.9%</w:t>
            </w:r>
          </w:p>
        </w:tc>
        <w:tc>
          <w:tcPr>
            <w:tcW w:type="dxa" w:w="2376"/>
            <w:shd w:val="clear" w:color="auto" w:fill="F1F5F9"/>
            <w:vAlign w:val="center"/>
          </w:tcPr>
          <w:p>
            <w:pPr>
              <w:jc w:val="center"/>
            </w:pPr>
            <w:r/>
            <w:r>
              <w:rPr>
                <w:color w:val="556575"/>
                <w:sz w:val="18"/>
              </w:rPr>
              <w:t>Test sample</w:t>
            </w:r>
          </w:p>
          <w:p>
            <w:pPr>
              <w:jc w:val="center"/>
            </w:pPr>
            <w:r>
              <w:rPr>
                <w:b/>
                <w:color w:val="1F3A68"/>
                <w:sz w:val="40"/>
              </w:rPr>
              <w:t>6,835</w:t>
            </w:r>
          </w:p>
          <w:p>
            <w:pPr>
              <w:jc w:val="center"/>
            </w:pPr>
            <w:r>
              <w:rPr>
                <w:i/>
                <w:color w:val="6B7280"/>
                <w:sz w:val="16"/>
              </w:rPr>
              <w:t>booked-proxy rows</w:t>
            </w:r>
          </w:p>
        </w:tc>
      </w:tr>
    </w:tbl>
    <w:p/>
    <w:p>
      <w:r>
        <w:rPr>
          <w:b/>
          <w:color w:val="1F3A68"/>
          <w:sz w:val="24"/>
        </w:rPr>
        <w:t>Recommendation rationale</w:t>
      </w:r>
    </w:p>
    <w:p>
      <w:pPr>
        <w:pStyle w:val="ListBullet"/>
      </w:pPr>
      <w:r>
        <w:rPr>
          <w:sz w:val="20"/>
        </w:rPr>
        <w:t>4 of 5 candidates clear the absolute weighted-score floor of 50.</w:t>
      </w:r>
    </w:p>
    <w:p>
      <w:pPr>
        <w:pStyle w:val="ListBullet"/>
      </w:pPr>
      <w:r>
        <w:rPr>
          <w:sz w:val="20"/>
        </w:rPr>
        <w:t>vs. score_RF (benchmark): ΔAUC = +0.0497 (lower CI +0.0210, adj. p = 0.044) — win.</w:t>
      </w:r>
    </w:p>
    <w:p>
      <w:pPr>
        <w:pStyle w:val="ListBullet"/>
      </w:pPr>
      <w:r>
        <w:rPr>
          <w:sz w:val="20"/>
        </w:rPr>
        <w:t>vs. risk_score_rf (benchmark): ΔAUC = -0.0029 (lower CI -0.0495, adj. p = 1.000) — loss.</w:t>
      </w:r>
    </w:p>
    <w:p>
      <w:pPr>
        <w:pStyle w:val="ListBullet"/>
      </w:pPr>
      <w:r>
        <w:rPr>
          <w:sz w:val="20"/>
        </w:rPr>
        <w:t>Rolling-OOT stability: PR AUC = 0.0609 (±0.0077) across 4 folds.</w:t>
      </w:r>
    </w:p>
    <w:p>
      <w:r>
        <w:rPr>
          <w:b/>
          <w:color w:val="B45309"/>
          <w:sz w:val="24"/>
        </w:rPr>
        <w:t>Watch-list (issues for monitoring or follow-up)</w:t>
      </w:r>
    </w:p>
    <w:p>
      <w:pPr>
        <w:pStyle w:val="ListBullet"/>
      </w:pPr>
      <w:r>
        <w:rPr>
          <w:sz w:val="20"/>
        </w:rPr>
        <w:t>PSI high drift on score distributions: CatBoost.</w:t>
      </w:r>
    </w:p>
    <w:p>
      <w:pPr>
        <w:pStyle w:val="ListBullet"/>
      </w:pPr>
      <w:r>
        <w:rPr>
          <w:sz w:val="20"/>
        </w:rPr>
        <w:t>Trained model loses to risk_score_rf on PR AUC by 0.0255 — feature ceiling vs. existing score (see methodology report §13).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171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_executive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1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  <w:color w:val="6B7280"/>
          <w:sz w:val="18"/>
        </w:rPr>
        <w:t>Full methodology + results are documented in methodology_report.docx. Production deployment requires the SHA-256 model checksums in output/models/checksums.json.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