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56"/>
        </w:rPr>
        <w:t>Basel Bad Credit Scoring Model</w:t>
      </w:r>
    </w:p>
    <w:p>
      <w:pPr>
        <w:jc w:val="center"/>
      </w:pPr>
      <w:r>
        <w:rPr>
          <w:color w:val="4A4A4A"/>
          <w:sz w:val="36"/>
        </w:rPr>
        <w:t>Methodology and Results Report</w:t>
      </w:r>
    </w:p>
    <w:p/>
    <w:p>
      <w:pPr>
        <w:jc w:val="center"/>
      </w:pPr>
      <w:r>
        <w:rPr>
          <w:i/>
          <w:sz w:val="22"/>
        </w:rPr>
        <w:t>Generated 2026-04-30 · Recommended candidate: Logistic Regression</w:t>
      </w:r>
    </w:p>
    <w:p/>
    <w:p>
      <w:pPr>
        <w:jc w:val="center"/>
      </w:pPr>
      <w:r>
        <w:rPr>
          <w:i/>
          <w:sz w:val="20"/>
        </w:rPr>
        <w:t>Audience: management, internal model review, and regulatory examiners.</w:t>
        <w:br/>
        <w:t>Every methodology choice in this document has a documented rationale or literature citation; every result number traces back to a CSV artifact in the model output directory.</w:t>
      </w:r>
    </w:p>
    <w:p>
      <w:r>
        <w:br w:type="page"/>
      </w:r>
    </w:p>
    <w:p>
      <w:pPr>
        <w:pStyle w:val="Heading1"/>
      </w:pPr>
      <w:r>
        <w:rPr>
          <w:color w:val="1F3A68"/>
        </w:rPr>
        <w:t>1.  Executive Summary</w:t>
      </w:r>
    </w:p>
    <w:p>
      <w:r>
        <w:rPr>
          <w:b w:val="0"/>
          <w:i w:val="0"/>
          <w:sz w:val="22"/>
        </w:rPr>
        <w:t>This document describes the methodology and reports the results of the basel_bad probability-of-default (PD) modelling pipeline for consumer credit underwriting decisions. The pipeline trains five candidate model classes on a temporally split sample, calibrates each one on a held-out later block, and selects a production candidate using a five-criterion weighted score with an absolute quality floor.</w:t>
      </w:r>
    </w:p>
    <w:p>
      <w:r>
        <w:rPr>
          <w:b/>
          <w:i w:val="0"/>
          <w:sz w:val="24"/>
        </w:rPr>
        <w:t>Headline result</w:t>
      </w:r>
    </w:p>
    <w:p>
      <w:pPr>
        <w:pStyle w:val="ListBullet"/>
      </w:pPr>
      <w:r>
        <w:rPr>
          <w:sz w:val="22"/>
        </w:rPr>
        <w:t>The selector recommends Logistic Regression (calibrated). Weighted selection score: 95.0 / 100. 4 of 5 candidates clear the absolute 50/100 quality floor. It is the only candidate with the strongest benchmark-evidence tier (3).</w:t>
      </w:r>
    </w:p>
    <w:p>
      <w:pPr>
        <w:pStyle w:val="ListBullet"/>
      </w:pPr>
      <w:r>
        <w:rPr>
          <w:sz w:val="22"/>
        </w:rPr>
        <w:t>Held-out test (booked-proxy, n = 6,835): ROC AUC = 0.6673, Gini = 0.3347, KS = 0.2617, PR AUC = 0.0648. Calibrated Brier = 0.0366.</w:t>
      </w:r>
    </w:p>
    <w:p>
      <w:pPr>
        <w:pStyle w:val="ListBullet"/>
      </w:pPr>
      <w:r>
        <w:rPr>
          <w:sz w:val="22"/>
        </w:rPr>
        <w:t>Versus risk_score_rf (benchmark): ΔAUC = -0.0029 (95% CI [-0.0495, +0.0392], adjusted p = 1.000); ΔPR AUC = -0.0255.</w:t>
      </w:r>
    </w:p>
    <w:p>
      <w:pPr>
        <w:pStyle w:val="ListBullet"/>
      </w:pPr>
      <w:r>
        <w:rPr>
          <w:sz w:val="22"/>
        </w:rPr>
        <w:t>Versus score_RF (benchmark): ΔAUC = +0.0497 (95% CI [+0.0210, +0.0780], adjusted p = 0.044); ΔPR AUC = +0.0145.</w:t>
      </w:r>
    </w:p>
    <w:p>
      <w:pPr>
        <w:pStyle w:val="ListBullet"/>
      </w:pPr>
      <w:r>
        <w:rPr>
          <w:sz w:val="22"/>
        </w:rPr>
        <w:t>Twelve external/internal methodology improvements (audit fixes A–M) are integrated into the pipeline; each is described in the relevant section below and summarised in §22.</w:t>
      </w:r>
    </w:p>
    <w:p>
      <w:r>
        <w:rPr>
          <w:b/>
          <w:i w:val="0"/>
          <w:sz w:val="24"/>
        </w:rPr>
        <w:t>What this document covers</w:t>
      </w:r>
    </w:p>
    <w:p>
      <w:r>
        <w:rPr>
          <w:b w:val="0"/>
          <w:i w:val="0"/>
          <w:sz w:val="22"/>
        </w:rPr>
        <w:t>Sections 2–12 explain the methodology — target definition, sample design, feature engineering and selection, model training, calibration, validation design, reject-inference handling, and the selection criteria. Sections 13–18 report the actual results from the latest training run: discrimination, calibration, stability, benchmark comparison, feature importance, and fair-lending diagnostics. Sections 19–23 enumerate limitations, recommendations, methodology constants with citations, the audit improvements, and the artifact inventory.</w:t>
      </w:r>
    </w:p>
    <w:p>
      <w:pPr>
        <w:jc w:val="center"/>
      </w:pPr>
      <w:r>
        <w:drawing>
          <wp:inline xmlns:a="http://schemas.openxmlformats.org/drawingml/2006/main" xmlns:pic="http://schemas.openxmlformats.org/drawingml/2006/picture">
            <wp:extent cx="5943600" cy="3917167"/>
            <wp:docPr id="1" name="Picture 1"/>
            <wp:cNvGraphicFramePr>
              <a:graphicFrameLocks noChangeAspect="1"/>
            </wp:cNvGraphicFramePr>
            <a:graphic>
              <a:graphicData uri="http://schemas.openxmlformats.org/drawingml/2006/picture">
                <pic:pic>
                  <pic:nvPicPr>
                    <pic:cNvPr id="0" name="stakeholder_executive_summary.png"/>
                    <pic:cNvPicPr/>
                  </pic:nvPicPr>
                  <pic:blipFill>
                    <a:blip r:embed="rId9"/>
                    <a:stretch>
                      <a:fillRect/>
                    </a:stretch>
                  </pic:blipFill>
                  <pic:spPr>
                    <a:xfrm>
                      <a:off x="0" y="0"/>
                      <a:ext cx="5943600" cy="3917167"/>
                    </a:xfrm>
                    <a:prstGeom prst="rect"/>
                  </pic:spPr>
                </pic:pic>
              </a:graphicData>
            </a:graphic>
          </wp:inline>
        </w:drawing>
      </w:r>
    </w:p>
    <w:p>
      <w:pPr>
        <w:jc w:val="center"/>
      </w:pPr>
      <w:r>
        <w:rPr>
          <w:i/>
          <w:sz w:val="18"/>
        </w:rPr>
        <w:t>Figure: Stakeholder executive-summary chart pack</w:t>
      </w:r>
    </w:p>
    <w:p>
      <w:r>
        <w:br w:type="page"/>
      </w:r>
    </w:p>
    <w:p>
      <w:pPr>
        <w:pStyle w:val="Heading1"/>
      </w:pPr>
      <w:r>
        <w:rPr>
          <w:color w:val="1F3A68"/>
        </w:rPr>
        <w:t>2.  Business Problem and Target Definition</w:t>
      </w:r>
    </w:p>
    <w:p>
      <w:r>
        <w:rPr>
          <w:b w:val="0"/>
          <w:i w:val="0"/>
          <w:sz w:val="22"/>
        </w:rPr>
        <w:t>The target variable basel_bad is a binary flag indicating whether an applicant became 90+ days past due on their consumer-credit obligation within the first 12 months on book. The 12-month observation window is the standard maturity used for Basel-aligned probability-of-default estimation in retail banking and matches existing internal portfolio definitions.</w:t>
      </w:r>
    </w:p>
    <w:p>
      <w:r>
        <w:rPr>
          <w:b/>
          <w:i w:val="0"/>
          <w:sz w:val="24"/>
        </w:rPr>
        <w:t>Maturity invariant</w:t>
      </w:r>
    </w:p>
    <w:p>
      <w:r>
        <w:rPr>
          <w:b w:val="0"/>
          <w:i w:val="0"/>
          <w:sz w:val="22"/>
        </w:rPr>
        <w:t>Because basel_bad requires 12 months on book to mature, the pipeline filters every modelling sample to mis_Date ≤ MATURITY_CUTOFF (currently 2025-01-01). Rows beyond that cutoff with a non-null target — typically right-censored zeros from upstream — are dropped by the static-cutoff filter. A regulator-visible warning is emitted whenever such rows are present, so a reviewer can decide whether the cutoff should be advanced or whether upstream is leaking pre-mature observations (audit fix F).</w:t>
      </w:r>
    </w:p>
    <w:p>
      <w:r>
        <w:rPr>
          <w:b/>
          <w:i w:val="0"/>
          <w:sz w:val="24"/>
        </w:rPr>
        <w:t>Population breakdown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960"/>
        <w:gridCol w:w="960"/>
        <w:gridCol w:w="960"/>
        <w:gridCol w:w="960"/>
        <w:gridCol w:w="960"/>
        <w:gridCol w:w="960"/>
        <w:gridCol w:w="960"/>
        <w:gridCol w:w="960"/>
        <w:gridCol w:w="960"/>
      </w:tblGrid>
      <w:tr>
        <w:tc>
          <w:tcPr>
            <w:tcW w:type="dxa" w:w="960"/>
            <w:shd w:val="clear" w:color="auto" w:fill="1F3A68"/>
          </w:tcPr>
          <w:p>
            <w:r>
              <w:rPr>
                <w:b/>
                <w:color w:val="FFFFFF"/>
                <w:sz w:val="20"/>
              </w:rPr>
              <w:t>population_mode</w:t>
            </w:r>
          </w:p>
        </w:tc>
        <w:tc>
          <w:tcPr>
            <w:tcW w:type="dxa" w:w="960"/>
            <w:shd w:val="clear" w:color="auto" w:fill="1F3A68"/>
          </w:tcPr>
          <w:p>
            <w:r>
              <w:rPr>
                <w:b/>
                <w:color w:val="FFFFFF"/>
                <w:sz w:val="20"/>
              </w:rPr>
              <w:t>split</w:t>
            </w:r>
          </w:p>
        </w:tc>
        <w:tc>
          <w:tcPr>
            <w:tcW w:type="dxa" w:w="960"/>
            <w:shd w:val="clear" w:color="auto" w:fill="1F3A68"/>
          </w:tcPr>
          <w:p>
            <w:r>
              <w:rPr>
                <w:b/>
                <w:color w:val="FFFFFF"/>
                <w:sz w:val="20"/>
              </w:rPr>
              <w:t>status_name</w:t>
            </w:r>
          </w:p>
        </w:tc>
        <w:tc>
          <w:tcPr>
            <w:tcW w:type="dxa" w:w="960"/>
            <w:shd w:val="clear" w:color="auto" w:fill="1F3A68"/>
          </w:tcPr>
          <w:p>
            <w:r>
              <w:rPr>
                <w:b/>
                <w:color w:val="FFFFFF"/>
                <w:sz w:val="20"/>
              </w:rPr>
              <w:t>population_group</w:t>
            </w:r>
          </w:p>
        </w:tc>
        <w:tc>
          <w:tcPr>
            <w:tcW w:type="dxa" w:w="960"/>
            <w:shd w:val="clear" w:color="auto" w:fill="1F3A68"/>
          </w:tcPr>
          <w:p>
            <w:r>
              <w:rPr>
                <w:b/>
                <w:color w:val="FFFFFF"/>
                <w:sz w:val="20"/>
              </w:rPr>
              <w:t>n_rows</w:t>
            </w:r>
          </w:p>
        </w:tc>
        <w:tc>
          <w:tcPr>
            <w:tcW w:type="dxa" w:w="960"/>
            <w:shd w:val="clear" w:color="auto" w:fill="1F3A68"/>
          </w:tcPr>
          <w:p>
            <w:r>
              <w:rPr>
                <w:b/>
                <w:color w:val="FFFFFF"/>
                <w:sz w:val="20"/>
              </w:rPr>
              <w:t>n_with_observed_target</w:t>
            </w:r>
          </w:p>
        </w:tc>
        <w:tc>
          <w:tcPr>
            <w:tcW w:type="dxa" w:w="960"/>
            <w:shd w:val="clear" w:color="auto" w:fill="1F3A68"/>
          </w:tcPr>
          <w:p>
            <w:r>
              <w:rPr>
                <w:b/>
                <w:color w:val="FFFFFF"/>
                <w:sz w:val="20"/>
              </w:rPr>
              <w:t>n_bad_observed</w:t>
            </w:r>
          </w:p>
        </w:tc>
        <w:tc>
          <w:tcPr>
            <w:tcW w:type="dxa" w:w="960"/>
            <w:shd w:val="clear" w:color="auto" w:fill="1F3A68"/>
          </w:tcPr>
          <w:p>
            <w:r>
              <w:rPr>
                <w:b/>
                <w:color w:val="FFFFFF"/>
                <w:sz w:val="20"/>
              </w:rPr>
              <w:t>date_start</w:t>
            </w:r>
          </w:p>
        </w:tc>
        <w:tc>
          <w:tcPr>
            <w:tcW w:type="dxa" w:w="960"/>
            <w:shd w:val="clear" w:color="auto" w:fill="1F3A68"/>
          </w:tcPr>
          <w:p>
            <w:r>
              <w:rPr>
                <w:b/>
                <w:color w:val="FFFFFF"/>
                <w:sz w:val="20"/>
              </w:rPr>
              <w:t>date_end</w:t>
            </w:r>
          </w:p>
        </w:tc>
      </w:tr>
      <w:tr>
        <w:tc>
          <w:tcPr>
            <w:tcW w:type="dxa" w:w="960"/>
            <w:vAlign w:val="center"/>
          </w:tcPr>
          <w:p>
            <w:r>
              <w:rPr>
                <w:sz w:val="20"/>
              </w:rPr>
              <w:t>underwriting</w:t>
            </w:r>
          </w:p>
        </w:tc>
        <w:tc>
          <w:tcPr>
            <w:tcW w:type="dxa" w:w="960"/>
            <w:vAlign w:val="center"/>
          </w:tcPr>
          <w:p>
            <w:r>
              <w:rPr>
                <w:sz w:val="20"/>
              </w:rPr>
              <w:t>post_split</w:t>
            </w:r>
          </w:p>
        </w:tc>
        <w:tc>
          <w:tcPr>
            <w:tcW w:type="dxa" w:w="960"/>
            <w:vAlign w:val="center"/>
          </w:tcPr>
          <w:p>
            <w:r>
              <w:rPr>
                <w:sz w:val="20"/>
              </w:rPr>
              <w:t>Booked</w:t>
            </w:r>
          </w:p>
        </w:tc>
        <w:tc>
          <w:tcPr>
            <w:tcW w:type="dxa" w:w="960"/>
            <w:vAlign w:val="center"/>
          </w:tcPr>
          <w:p>
            <w:r>
              <w:rPr>
                <w:sz w:val="20"/>
              </w:rPr>
              <w:t>booked</w:t>
            </w:r>
          </w:p>
        </w:tc>
        <w:tc>
          <w:tcPr>
            <w:tcW w:type="dxa" w:w="960"/>
            <w:vAlign w:val="center"/>
          </w:tcPr>
          <w:p>
            <w:r>
              <w:rPr>
                <w:sz w:val="20"/>
              </w:rPr>
              <w:t>50735</w:t>
            </w:r>
          </w:p>
        </w:tc>
        <w:tc>
          <w:tcPr>
            <w:tcW w:type="dxa" w:w="960"/>
            <w:vAlign w:val="center"/>
          </w:tcPr>
          <w:p>
            <w:r>
              <w:rPr>
                <w:sz w:val="20"/>
              </w:rPr>
              <w:t>50171</w:t>
            </w:r>
          </w:p>
        </w:tc>
        <w:tc>
          <w:tcPr>
            <w:tcW w:type="dxa" w:w="960"/>
            <w:vAlign w:val="center"/>
          </w:tcPr>
          <w:p>
            <w:r>
              <w:rPr>
                <w:sz w:val="20"/>
              </w:rPr>
              <w:t>727</w:t>
            </w:r>
          </w:p>
        </w:tc>
        <w:tc>
          <w:tcPr>
            <w:tcW w:type="dxa" w:w="960"/>
            <w:vAlign w:val="center"/>
          </w:tcPr>
          <w:p>
            <w:r>
              <w:rPr>
                <w:sz w:val="20"/>
              </w:rPr>
              <w:t>2024-07-01</w:t>
            </w:r>
          </w:p>
        </w:tc>
        <w:tc>
          <w:tcPr>
            <w:tcW w:type="dxa" w:w="960"/>
            <w:vAlign w:val="center"/>
          </w:tcPr>
          <w:p>
            <w:r>
              <w:rPr>
                <w:sz w:val="20"/>
              </w:rPr>
              <w:t>2026-02-01</w:t>
            </w:r>
          </w:p>
        </w:tc>
      </w:tr>
      <w:tr>
        <w:tc>
          <w:tcPr>
            <w:tcW w:type="dxa" w:w="960"/>
            <w:vAlign w:val="center"/>
          </w:tcPr>
          <w:p>
            <w:r>
              <w:rPr>
                <w:sz w:val="20"/>
              </w:rPr>
              <w:t>underwriting</w:t>
            </w:r>
          </w:p>
        </w:tc>
        <w:tc>
          <w:tcPr>
            <w:tcW w:type="dxa" w:w="960"/>
            <w:vAlign w:val="center"/>
          </w:tcPr>
          <w:p>
            <w:r>
              <w:rPr>
                <w:sz w:val="20"/>
              </w:rPr>
              <w:t>post_split</w:t>
            </w:r>
          </w:p>
        </w:tc>
        <w:tc>
          <w:tcPr>
            <w:tcW w:type="dxa" w:w="960"/>
            <w:vAlign w:val="center"/>
          </w:tcPr>
          <w:p>
            <w:r>
              <w:rPr>
                <w:sz w:val="20"/>
              </w:rPr>
              <w:t>Canceled</w:t>
            </w:r>
          </w:p>
        </w:tc>
        <w:tc>
          <w:tcPr>
            <w:tcW w:type="dxa" w:w="960"/>
            <w:vAlign w:val="center"/>
          </w:tcPr>
          <w:p>
            <w:r>
              <w:rPr>
                <w:sz w:val="20"/>
              </w:rPr>
              <w:t>decisioned_non_booked</w:t>
            </w:r>
          </w:p>
        </w:tc>
        <w:tc>
          <w:tcPr>
            <w:tcW w:type="dxa" w:w="960"/>
            <w:vAlign w:val="center"/>
          </w:tcPr>
          <w:p>
            <w:r>
              <w:rPr>
                <w:sz w:val="20"/>
              </w:rPr>
              <w:t>149039</w:t>
            </w:r>
          </w:p>
        </w:tc>
        <w:tc>
          <w:tcPr>
            <w:tcW w:type="dxa" w:w="960"/>
            <w:vAlign w:val="center"/>
          </w:tcPr>
          <w:p>
            <w:r>
              <w:rPr>
                <w:sz w:val="20"/>
              </w:rPr>
              <w:t>149039</w:t>
            </w:r>
          </w:p>
        </w:tc>
        <w:tc>
          <w:tcPr>
            <w:tcW w:type="dxa" w:w="960"/>
            <w:vAlign w:val="center"/>
          </w:tcPr>
          <w:p>
            <w:r>
              <w:rPr>
                <w:sz w:val="20"/>
              </w:rPr>
              <w:t>0</w:t>
            </w:r>
          </w:p>
        </w:tc>
        <w:tc>
          <w:tcPr>
            <w:tcW w:type="dxa" w:w="960"/>
            <w:vAlign w:val="center"/>
          </w:tcPr>
          <w:p>
            <w:r>
              <w:rPr>
                <w:sz w:val="20"/>
              </w:rPr>
              <w:t>2024-07-01</w:t>
            </w:r>
          </w:p>
        </w:tc>
        <w:tc>
          <w:tcPr>
            <w:tcW w:type="dxa" w:w="960"/>
            <w:vAlign w:val="center"/>
          </w:tcPr>
          <w:p>
            <w:r>
              <w:rPr>
                <w:sz w:val="20"/>
              </w:rPr>
              <w:t>2026-02-01</w:t>
            </w:r>
          </w:p>
        </w:tc>
      </w:tr>
      <w:tr>
        <w:tc>
          <w:tcPr>
            <w:tcW w:type="dxa" w:w="960"/>
            <w:vAlign w:val="center"/>
          </w:tcPr>
          <w:p>
            <w:r>
              <w:rPr>
                <w:sz w:val="20"/>
              </w:rPr>
              <w:t>underwriting</w:t>
            </w:r>
          </w:p>
        </w:tc>
        <w:tc>
          <w:tcPr>
            <w:tcW w:type="dxa" w:w="960"/>
            <w:vAlign w:val="center"/>
          </w:tcPr>
          <w:p>
            <w:r>
              <w:rPr>
                <w:sz w:val="20"/>
              </w:rPr>
              <w:t>post_split</w:t>
            </w:r>
          </w:p>
        </w:tc>
        <w:tc>
          <w:tcPr>
            <w:tcW w:type="dxa" w:w="960"/>
            <w:vAlign w:val="center"/>
          </w:tcPr>
          <w:p>
            <w:r>
              <w:rPr>
                <w:sz w:val="20"/>
              </w:rPr>
              <w:t>Rejected</w:t>
            </w:r>
          </w:p>
        </w:tc>
        <w:tc>
          <w:tcPr>
            <w:tcW w:type="dxa" w:w="960"/>
            <w:vAlign w:val="center"/>
          </w:tcPr>
          <w:p>
            <w:r>
              <w:rPr>
                <w:sz w:val="20"/>
              </w:rPr>
              <w:t>decisioned_non_booked</w:t>
            </w:r>
          </w:p>
        </w:tc>
        <w:tc>
          <w:tcPr>
            <w:tcW w:type="dxa" w:w="960"/>
            <w:vAlign w:val="center"/>
          </w:tcPr>
          <w:p>
            <w:r>
              <w:rPr>
                <w:sz w:val="20"/>
              </w:rPr>
              <w:t>980972</w:t>
            </w:r>
          </w:p>
        </w:tc>
        <w:tc>
          <w:tcPr>
            <w:tcW w:type="dxa" w:w="960"/>
            <w:vAlign w:val="center"/>
          </w:tcPr>
          <w:p>
            <w:r>
              <w:rPr>
                <w:sz w:val="20"/>
              </w:rPr>
              <w:t>980972</w:t>
            </w:r>
          </w:p>
        </w:tc>
        <w:tc>
          <w:tcPr>
            <w:tcW w:type="dxa" w:w="960"/>
            <w:vAlign w:val="center"/>
          </w:tcPr>
          <w:p>
            <w:r>
              <w:rPr>
                <w:sz w:val="20"/>
              </w:rPr>
              <w:t>0</w:t>
            </w:r>
          </w:p>
        </w:tc>
        <w:tc>
          <w:tcPr>
            <w:tcW w:type="dxa" w:w="960"/>
            <w:vAlign w:val="center"/>
          </w:tcPr>
          <w:p>
            <w:r>
              <w:rPr>
                <w:sz w:val="20"/>
              </w:rPr>
              <w:t>2024-07-01</w:t>
            </w:r>
          </w:p>
        </w:tc>
        <w:tc>
          <w:tcPr>
            <w:tcW w:type="dxa" w:w="960"/>
            <w:vAlign w:val="center"/>
          </w:tcPr>
          <w:p>
            <w:r>
              <w:rPr>
                <w:sz w:val="20"/>
              </w:rPr>
              <w:t>2026-02-01</w:t>
            </w:r>
          </w:p>
        </w:tc>
      </w:tr>
      <w:tr>
        <w:tc>
          <w:tcPr>
            <w:tcW w:type="dxa" w:w="960"/>
            <w:vAlign w:val="center"/>
          </w:tcPr>
          <w:p>
            <w:r>
              <w:rPr>
                <w:sz w:val="20"/>
              </w:rPr>
              <w:t>underwriting</w:t>
            </w:r>
          </w:p>
        </w:tc>
        <w:tc>
          <w:tcPr>
            <w:tcW w:type="dxa" w:w="960"/>
            <w:vAlign w:val="center"/>
          </w:tcPr>
          <w:p>
            <w:r>
              <w:rPr>
                <w:sz w:val="20"/>
              </w:rPr>
              <w:t>pre_split</w:t>
            </w:r>
          </w:p>
        </w:tc>
        <w:tc>
          <w:tcPr>
            <w:tcW w:type="dxa" w:w="960"/>
            <w:vAlign w:val="center"/>
          </w:tcPr>
          <w:p>
            <w:r>
              <w:rPr>
                <w:sz w:val="20"/>
              </w:rPr>
              <w:t>Booked</w:t>
            </w:r>
          </w:p>
        </w:tc>
        <w:tc>
          <w:tcPr>
            <w:tcW w:type="dxa" w:w="960"/>
            <w:vAlign w:val="center"/>
          </w:tcPr>
          <w:p>
            <w:r>
              <w:rPr>
                <w:sz w:val="20"/>
              </w:rPr>
              <w:t>booked</w:t>
            </w:r>
          </w:p>
        </w:tc>
        <w:tc>
          <w:tcPr>
            <w:tcW w:type="dxa" w:w="960"/>
            <w:vAlign w:val="center"/>
          </w:tcPr>
          <w:p>
            <w:r>
              <w:rPr>
                <w:sz w:val="20"/>
              </w:rPr>
              <w:t>51380</w:t>
            </w:r>
          </w:p>
        </w:tc>
        <w:tc>
          <w:tcPr>
            <w:tcW w:type="dxa" w:w="960"/>
            <w:vAlign w:val="center"/>
          </w:tcPr>
          <w:p>
            <w:r>
              <w:rPr>
                <w:sz w:val="20"/>
              </w:rPr>
              <w:t>50782</w:t>
            </w:r>
          </w:p>
        </w:tc>
        <w:tc>
          <w:tcPr>
            <w:tcW w:type="dxa" w:w="960"/>
            <w:vAlign w:val="center"/>
          </w:tcPr>
          <w:p>
            <w:r>
              <w:rPr>
                <w:sz w:val="20"/>
              </w:rPr>
              <w:t>1935</w:t>
            </w:r>
          </w:p>
        </w:tc>
        <w:tc>
          <w:tcPr>
            <w:tcW w:type="dxa" w:w="960"/>
            <w:vAlign w:val="center"/>
          </w:tcPr>
          <w:p>
            <w:r>
              <w:rPr>
                <w:sz w:val="20"/>
              </w:rPr>
              <w:t>2023-01-01</w:t>
            </w:r>
          </w:p>
        </w:tc>
        <w:tc>
          <w:tcPr>
            <w:tcW w:type="dxa" w:w="960"/>
            <w:vAlign w:val="center"/>
          </w:tcPr>
          <w:p>
            <w:r>
              <w:rPr>
                <w:sz w:val="20"/>
              </w:rPr>
              <w:t>2024-06-01</w:t>
            </w:r>
          </w:p>
        </w:tc>
      </w:tr>
      <w:tr>
        <w:tc>
          <w:tcPr>
            <w:tcW w:type="dxa" w:w="960"/>
            <w:vAlign w:val="center"/>
          </w:tcPr>
          <w:p>
            <w:r>
              <w:rPr>
                <w:sz w:val="20"/>
              </w:rPr>
              <w:t>underwriting</w:t>
            </w:r>
          </w:p>
        </w:tc>
        <w:tc>
          <w:tcPr>
            <w:tcW w:type="dxa" w:w="960"/>
            <w:vAlign w:val="center"/>
          </w:tcPr>
          <w:p>
            <w:r>
              <w:rPr>
                <w:sz w:val="20"/>
              </w:rPr>
              <w:t>pre_split</w:t>
            </w:r>
          </w:p>
        </w:tc>
        <w:tc>
          <w:tcPr>
            <w:tcW w:type="dxa" w:w="960"/>
            <w:vAlign w:val="center"/>
          </w:tcPr>
          <w:p>
            <w:r>
              <w:rPr>
                <w:sz w:val="20"/>
              </w:rPr>
              <w:t>Canceled</w:t>
            </w:r>
          </w:p>
        </w:tc>
        <w:tc>
          <w:tcPr>
            <w:tcW w:type="dxa" w:w="960"/>
            <w:vAlign w:val="center"/>
          </w:tcPr>
          <w:p>
            <w:r>
              <w:rPr>
                <w:sz w:val="20"/>
              </w:rPr>
              <w:t>decisioned_non_booked</w:t>
            </w:r>
          </w:p>
        </w:tc>
        <w:tc>
          <w:tcPr>
            <w:tcW w:type="dxa" w:w="960"/>
            <w:vAlign w:val="center"/>
          </w:tcPr>
          <w:p>
            <w:r>
              <w:rPr>
                <w:sz w:val="20"/>
              </w:rPr>
              <w:t>180023</w:t>
            </w:r>
          </w:p>
        </w:tc>
        <w:tc>
          <w:tcPr>
            <w:tcW w:type="dxa" w:w="960"/>
            <w:vAlign w:val="center"/>
          </w:tcPr>
          <w:p>
            <w:r>
              <w:rPr>
                <w:sz w:val="20"/>
              </w:rPr>
              <w:t>180023</w:t>
            </w:r>
          </w:p>
        </w:tc>
        <w:tc>
          <w:tcPr>
            <w:tcW w:type="dxa" w:w="960"/>
            <w:vAlign w:val="center"/>
          </w:tcPr>
          <w:p>
            <w:r>
              <w:rPr>
                <w:sz w:val="20"/>
              </w:rPr>
              <w:t>0</w:t>
            </w:r>
          </w:p>
        </w:tc>
        <w:tc>
          <w:tcPr>
            <w:tcW w:type="dxa" w:w="960"/>
            <w:vAlign w:val="center"/>
          </w:tcPr>
          <w:p>
            <w:r>
              <w:rPr>
                <w:sz w:val="20"/>
              </w:rPr>
              <w:t>2023-01-01</w:t>
            </w:r>
          </w:p>
        </w:tc>
        <w:tc>
          <w:tcPr>
            <w:tcW w:type="dxa" w:w="960"/>
            <w:vAlign w:val="center"/>
          </w:tcPr>
          <w:p>
            <w:r>
              <w:rPr>
                <w:sz w:val="20"/>
              </w:rPr>
              <w:t>2024-06-01</w:t>
            </w:r>
          </w:p>
        </w:tc>
      </w:tr>
      <w:tr>
        <w:tc>
          <w:tcPr>
            <w:tcW w:type="dxa" w:w="960"/>
            <w:vAlign w:val="center"/>
          </w:tcPr>
          <w:p>
            <w:r>
              <w:rPr>
                <w:sz w:val="20"/>
              </w:rPr>
              <w:t>underwriting</w:t>
            </w:r>
          </w:p>
        </w:tc>
        <w:tc>
          <w:tcPr>
            <w:tcW w:type="dxa" w:w="960"/>
            <w:vAlign w:val="center"/>
          </w:tcPr>
          <w:p>
            <w:r>
              <w:rPr>
                <w:sz w:val="20"/>
              </w:rPr>
              <w:t>pre_split</w:t>
            </w:r>
          </w:p>
        </w:tc>
        <w:tc>
          <w:tcPr>
            <w:tcW w:type="dxa" w:w="960"/>
            <w:vAlign w:val="center"/>
          </w:tcPr>
          <w:p>
            <w:r>
              <w:rPr>
                <w:sz w:val="20"/>
              </w:rPr>
              <w:t>Rejected</w:t>
            </w:r>
          </w:p>
        </w:tc>
        <w:tc>
          <w:tcPr>
            <w:tcW w:type="dxa" w:w="960"/>
            <w:vAlign w:val="center"/>
          </w:tcPr>
          <w:p>
            <w:r>
              <w:rPr>
                <w:sz w:val="20"/>
              </w:rPr>
              <w:t>decisioned_non_booked</w:t>
            </w:r>
          </w:p>
        </w:tc>
        <w:tc>
          <w:tcPr>
            <w:tcW w:type="dxa" w:w="960"/>
            <w:vAlign w:val="center"/>
          </w:tcPr>
          <w:p>
            <w:r>
              <w:rPr>
                <w:sz w:val="20"/>
              </w:rPr>
              <w:t>974536</w:t>
            </w:r>
          </w:p>
        </w:tc>
        <w:tc>
          <w:tcPr>
            <w:tcW w:type="dxa" w:w="960"/>
            <w:vAlign w:val="center"/>
          </w:tcPr>
          <w:p>
            <w:r>
              <w:rPr>
                <w:sz w:val="20"/>
              </w:rPr>
              <w:t>974536</w:t>
            </w:r>
          </w:p>
        </w:tc>
        <w:tc>
          <w:tcPr>
            <w:tcW w:type="dxa" w:w="960"/>
            <w:vAlign w:val="center"/>
          </w:tcPr>
          <w:p>
            <w:r>
              <w:rPr>
                <w:sz w:val="20"/>
              </w:rPr>
              <w:t>0</w:t>
            </w:r>
          </w:p>
        </w:tc>
        <w:tc>
          <w:tcPr>
            <w:tcW w:type="dxa" w:w="960"/>
            <w:vAlign w:val="center"/>
          </w:tcPr>
          <w:p>
            <w:r>
              <w:rPr>
                <w:sz w:val="20"/>
              </w:rPr>
              <w:t>2023-01-01</w:t>
            </w:r>
          </w:p>
        </w:tc>
        <w:tc>
          <w:tcPr>
            <w:tcW w:type="dxa" w:w="960"/>
            <w:vAlign w:val="center"/>
          </w:tcPr>
          <w:p>
            <w:r>
              <w:rPr>
                <w:sz w:val="20"/>
              </w:rPr>
              <w:t>2024-06-01</w:t>
            </w:r>
          </w:p>
        </w:tc>
      </w:tr>
    </w:tbl>
    <w:p>
      <w:r>
        <w:rPr>
          <w:b/>
          <w:i w:val="0"/>
          <w:sz w:val="24"/>
        </w:rPr>
        <w:t>Population mode: underwriting</w:t>
      </w:r>
    </w:p>
    <w:p>
      <w:r>
        <w:rPr>
          <w:b w:val="0"/>
          <w:i w:val="0"/>
          <w:sz w:val="22"/>
        </w:rPr>
        <w:t>The pipeline supports two population modes. The default 'underwriting' mode treats the model as a tool that scores all decisioned applications (booked + rejected + canceled) at decision time. Supervised training, however, uses only booked accounts because booked accounts are the only population for which basel_bad is observable. This means held-out performance metrics on the test set are an accepted-population proxy: they answer 'how well would the model rank applicants among those actually booked', not 'how well would the model rank a random underwriting application'. The proxy is the industry standard given the reject-inference identification problem.</w:t>
      </w:r>
    </w:p>
    <w:p>
      <w:r>
        <w:br w:type="page"/>
      </w:r>
    </w:p>
    <w:p>
      <w:pPr>
        <w:pStyle w:val="Heading1"/>
      </w:pPr>
      <w:r>
        <w:rPr>
          <w:color w:val="1F3A68"/>
        </w:rPr>
        <w:t>3.  Sample Design</w:t>
      </w:r>
    </w:p>
    <w:p>
      <w:r>
        <w:rPr>
          <w:b/>
          <w:i w:val="0"/>
          <w:sz w:val="24"/>
        </w:rPr>
        <w:t>Temporal cuts</w:t>
      </w:r>
    </w:p>
    <w:p>
      <w:pPr>
        <w:pStyle w:val="ListBullet"/>
      </w:pPr>
      <w:r>
        <w:rPr>
          <w:sz w:val="22"/>
        </w:rPr>
        <w:t>Feature-discovery sample: earliest 50% of pre-test booked rows. Reserved for interaction search and stability-selection feature freezing.</w:t>
      </w:r>
    </w:p>
    <w:p>
      <w:pPr>
        <w:pStyle w:val="ListBullet"/>
      </w:pPr>
      <w:r>
        <w:rPr>
          <w:sz w:val="22"/>
        </w:rPr>
        <w:t>Estimation sample: later pre-test booked rows. Used for final model fit on the frozen feature set.</w:t>
      </w:r>
    </w:p>
    <w:p>
      <w:pPr>
        <w:pStyle w:val="ListBullet"/>
      </w:pPr>
      <w:r>
        <w:rPr>
          <w:sz w:val="22"/>
        </w:rPr>
        <w:t>Calibration holdout: latest 15% of the estimation sample (temporal). Used only for post-hoc probability calibration.</w:t>
      </w:r>
    </w:p>
    <w:p>
      <w:pPr>
        <w:pStyle w:val="ListBullet"/>
      </w:pPr>
      <w:r>
        <w:rPr>
          <w:sz w:val="22"/>
        </w:rPr>
        <w:t>Test sample: post-2024-07-01 booked rows that have matured by MATURITY_CUTOFF. Touched once at the end for headline reporting; rolling-OOT validation uses earlier folds.</w:t>
      </w:r>
    </w:p>
    <w:p>
      <w:r>
        <w:rPr>
          <w:b/>
          <w:i w:val="0"/>
          <w:sz w:val="24"/>
        </w:rPr>
        <w:t>Why temporal-only splits</w:t>
      </w:r>
    </w:p>
    <w:p>
      <w:r>
        <w:rPr>
          <w:b w:val="0"/>
          <w:i w:val="0"/>
          <w:sz w:val="22"/>
        </w:rPr>
        <w:t>Random or stratified shuffling of credit data leaks future outcomes into earlier folds: a Bernoulli draw of a 2024-09 applicant into the training set during a 2024-04 fold gives the model access to data it would not have at deployment time. The pipeline forbids StratifiedKFold(shuffle=True) anywhere; every cross-validator is implemented as a TemporalExpandingCV that strictly orders fold dates.</w:t>
      </w:r>
    </w:p>
    <w:p>
      <w:r>
        <w:rPr>
          <w:b/>
          <w:i w:val="0"/>
          <w:sz w:val="24"/>
        </w:rPr>
        <w:t>Feature-discovery boundary (latest run)</w:t>
      </w:r>
    </w:p>
    <w:p>
      <w:pPr>
        <w:pStyle w:val="ListBullet"/>
      </w:pPr>
      <w:r>
        <w:rPr>
          <w:sz w:val="22"/>
        </w:rPr>
        <w:t>Discovery sample ends: 2023-08-01</w:t>
      </w:r>
    </w:p>
    <w:p>
      <w:pPr>
        <w:pStyle w:val="ListBullet"/>
      </w:pPr>
      <w:r>
        <w:rPr>
          <w:sz w:val="22"/>
        </w:rPr>
        <w:t>Estimation sample starts: 2023-09-01</w:t>
      </w:r>
    </w:p>
    <w:p>
      <w:pPr>
        <w:pStyle w:val="ListBullet"/>
      </w:pPr>
      <w:r>
        <w:rPr>
          <w:sz w:val="22"/>
        </w:rPr>
        <w:t>Discovery seed rows: 25,719</w:t>
      </w:r>
    </w:p>
    <w:p>
      <w:pPr>
        <w:pStyle w:val="ListBullet"/>
      </w:pPr>
      <w:r>
        <w:rPr>
          <w:sz w:val="22"/>
        </w:rPr>
        <w:t>Discovery seed positives: 1,032</w:t>
      </w:r>
    </w:p>
    <w:p>
      <w:pPr>
        <w:pStyle w:val="ListBullet"/>
      </w:pPr>
      <w:r>
        <w:rPr>
          <w:sz w:val="22"/>
        </w:rPr>
        <w:t>Estimation seed rows: 25,063</w:t>
      </w:r>
    </w:p>
    <w:p>
      <w:pPr>
        <w:pStyle w:val="ListBullet"/>
      </w:pPr>
      <w:r>
        <w:rPr>
          <w:sz w:val="22"/>
        </w:rPr>
        <w:t>Estimation seed positives: 903</w:t>
      </w:r>
    </w:p>
    <w:p>
      <w:pPr>
        <w:pStyle w:val="ListBullet"/>
      </w:pPr>
      <w:r>
        <w:rPr>
          <w:sz w:val="22"/>
        </w:rPr>
        <w:t>Scored candidates: 290</w:t>
      </w:r>
    </w:p>
    <w:p>
      <w:pPr>
        <w:pStyle w:val="ListBullet"/>
      </w:pPr>
      <w:r>
        <w:rPr>
          <w:sz w:val="22"/>
        </w:rPr>
        <w:t>Selected interactions: 54</w:t>
      </w:r>
    </w:p>
    <w:p>
      <w:r>
        <w:br w:type="page"/>
      </w:r>
    </w:p>
    <w:p>
      <w:pPr>
        <w:pStyle w:val="Heading1"/>
      </w:pPr>
      <w:r>
        <w:rPr>
          <w:color w:val="1F3A68"/>
        </w:rPr>
        <w:t>4.  Feature Engineering</w:t>
      </w:r>
    </w:p>
    <w:p>
      <w:r>
        <w:rPr>
          <w:b w:val="0"/>
          <w:i w:val="0"/>
          <w:sz w:val="22"/>
        </w:rPr>
        <w:t>Feature engineering is split into four layers, applied in this order:</w:t>
      </w:r>
    </w:p>
    <w:p>
      <w:pPr>
        <w:pStyle w:val="ListBullet"/>
      </w:pPr>
      <w:r>
        <w:rPr>
          <w:sz w:val="22"/>
        </w:rPr>
        <w:t>Layer 1 — Deterministic transforms on raw application data: log-transforms (log1p of income, total amount, max credit available), ratios (installment/income, total amount/household income, book ratios), household-income aggregation, codebtor flags, missingness indicators for high-missingness columns, and concatenated categorical interactions. All transforms are pure functions of the input row — no training statistics are used.</w:t>
      </w:r>
    </w:p>
    <w:p>
      <w:pPr>
        <w:pStyle w:val="ListBullet"/>
      </w:pPr>
      <w:r>
        <w:rPr>
          <w:sz w:val="22"/>
        </w:rPr>
        <w:t>Layer 2 — Interaction search (audit-validated). For each pair of (numeric, categorical) and (categorical, categorical) features, the search computes a temporally validated PR AUC of the candidate interaction on the discovery sample. Numeric × categorical pairs are scored via target-encoded binned interactions; the top selected candidates by lift are added to the modelling matrix.</w:t>
      </w:r>
    </w:p>
    <w:p>
      <w:pPr>
        <w:pStyle w:val="ListBullet"/>
      </w:pPr>
      <w:r>
        <w:rPr>
          <w:sz w:val="22"/>
        </w:rPr>
        <w:t>Layer 3 — Cardinality reduction: high-cardinality categoricals are capped at MAX_CATEGORIES top values (training-set frequency); the remainder is bucketed as 'Other'. This prevents target-encoder explosion on rare categories and matches the production scoring contract.</w:t>
      </w:r>
    </w:p>
    <w:p>
      <w:pPr>
        <w:pStyle w:val="ListBullet"/>
      </w:pPr>
      <w:r>
        <w:rPr>
          <w:sz w:val="22"/>
        </w:rPr>
        <w:t>Layer 4 — Modelling features (frequency encoding + group statistics). FREQ_&lt;cat&gt; columns map each category to its training-set proportion. &lt;num&gt;_VS_&lt;cat&gt; columns express each numeric value as a ratio against its group median computed on training data only. Both encodings are fit on the development sample and applied to the test sample without modification — no leakage.</w:t>
      </w:r>
    </w:p>
    <w:p>
      <w:r>
        <w:rPr>
          <w:b/>
          <w:i w:val="0"/>
          <w:sz w:val="22"/>
        </w:rPr>
        <w:t>Selected interactions in the latest run: 54 of 290 screened</w:t>
      </w:r>
    </w:p>
    <w:p>
      <w:r>
        <w:br w:type="page"/>
      </w:r>
    </w:p>
    <w:p>
      <w:pPr>
        <w:pStyle w:val="Heading1"/>
      </w:pPr>
      <w:r>
        <w:rPr>
          <w:color w:val="1F3A68"/>
        </w:rPr>
        <w:t>5.  Feature Selection</w:t>
      </w:r>
    </w:p>
    <w:p>
      <w:r>
        <w:rPr>
          <w:b/>
          <w:i w:val="0"/>
          <w:sz w:val="24"/>
        </w:rPr>
        <w:t>Two complementary selectors</w:t>
      </w:r>
    </w:p>
    <w:p>
      <w:r>
        <w:rPr>
          <w:b w:val="0"/>
          <w:i w:val="0"/>
          <w:sz w:val="22"/>
        </w:rPr>
        <w:t>The frozen feature contract is the union of two independent selectors. The original linear stability selector follows Meinshausen &amp; Bühlmann (2010): an elastic-net classifier is fit at multiple (C, l1_ratio) settings inside each temporal CV fold, and a feature is kept if it appears in ≥50% of {fold, hyper-parameter} combinations. A floor of 5 features prevents over-aggressive pruning on small folds.</w:t>
      </w:r>
    </w:p>
    <w:p>
      <w:r>
        <w:rPr>
          <w:b w:val="0"/>
          <w:i w:val="0"/>
          <w:sz w:val="22"/>
        </w:rPr>
        <w:t>The second pass is a tree-aware permutation-importance selector (audit fix B). Inside each temporal CV fold, a small LightGBM is fit and permutation importance is computed on the validation slice using average-precision scoring. Features whose mean permutation importance across folds is at least 5% of the most-important feature's mean are kept. The motivation: the linear stability selector cannot detect features that contribute through non-linear effects or interactions, and routinely drops such features even though tree models would extract value from them.</w:t>
      </w:r>
    </w:p>
    <w:p>
      <w:r>
        <w:rPr>
          <w:b/>
          <w:i w:val="0"/>
          <w:sz w:val="22"/>
        </w:rPr>
        <w:t>Selector breakdown (latest run)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032"/>
            <w:shd w:val="clear" w:color="auto" w:fill="1F3A68"/>
          </w:tcPr>
          <w:p>
            <w:r>
              <w:rPr>
                <w:b/>
                <w:color w:val="FFFFFF"/>
                <w:sz w:val="20"/>
              </w:rPr>
              <w:t>Kept by</w:t>
            </w:r>
          </w:p>
        </w:tc>
        <w:tc>
          <w:tcPr>
            <w:tcW w:type="dxa" w:w="1728"/>
            <w:shd w:val="clear" w:color="auto" w:fill="1F3A68"/>
          </w:tcPr>
          <w:p>
            <w:r>
              <w:rPr>
                <w:b/>
                <w:color w:val="FFFFFF"/>
                <w:sz w:val="20"/>
              </w:rPr>
              <w:t>Count</w:t>
            </w:r>
          </w:p>
        </w:tc>
      </w:tr>
      <w:tr>
        <w:tc>
          <w:tcPr>
            <w:tcW w:type="dxa" w:w="4032"/>
            <w:vAlign w:val="center"/>
          </w:tcPr>
          <w:p>
            <w:r>
              <w:rPr>
                <w:sz w:val="20"/>
              </w:rPr>
              <w:t>stability_only</w:t>
            </w:r>
          </w:p>
        </w:tc>
        <w:tc>
          <w:tcPr>
            <w:tcW w:type="dxa" w:w="1728"/>
            <w:vAlign w:val="center"/>
          </w:tcPr>
          <w:p>
            <w:r>
              <w:rPr>
                <w:sz w:val="20"/>
              </w:rPr>
              <w:t>69</w:t>
            </w:r>
          </w:p>
        </w:tc>
      </w:tr>
      <w:tr>
        <w:tc>
          <w:tcPr>
            <w:tcW w:type="dxa" w:w="4032"/>
            <w:vAlign w:val="center"/>
          </w:tcPr>
          <w:p>
            <w:r>
              <w:rPr>
                <w:sz w:val="20"/>
              </w:rPr>
              <w:t>tree_aware_only</w:t>
            </w:r>
          </w:p>
        </w:tc>
        <w:tc>
          <w:tcPr>
            <w:tcW w:type="dxa" w:w="1728"/>
            <w:vAlign w:val="center"/>
          </w:tcPr>
          <w:p>
            <w:r>
              <w:rPr>
                <w:sz w:val="20"/>
              </w:rPr>
              <w:t>12</w:t>
            </w:r>
          </w:p>
        </w:tc>
      </w:tr>
      <w:tr>
        <w:tc>
          <w:tcPr>
            <w:tcW w:type="dxa" w:w="4032"/>
            <w:vAlign w:val="center"/>
          </w:tcPr>
          <w:p>
            <w:r>
              <w:rPr>
                <w:sz w:val="20"/>
              </w:rPr>
              <w:t>both</w:t>
            </w:r>
          </w:p>
        </w:tc>
        <w:tc>
          <w:tcPr>
            <w:tcW w:type="dxa" w:w="1728"/>
            <w:vAlign w:val="center"/>
          </w:tcPr>
          <w:p>
            <w:r>
              <w:rPr>
                <w:sz w:val="20"/>
              </w:rPr>
              <w:t>21</w:t>
            </w:r>
          </w:p>
        </w:tc>
      </w:tr>
    </w:tbl>
    <w:p>
      <w:r>
        <w:rPr>
          <w:b w:val="0"/>
          <w:i w:val="0"/>
          <w:sz w:val="22"/>
        </w:rPr>
        <w:t>Features kept exclusively by the tree-aware pass — these are the audit's exact case where the linear selector dropped a feature the tree models found informative: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6480"/>
            <w:shd w:val="clear" w:color="auto" w:fill="1F3A68"/>
          </w:tcPr>
          <w:p>
            <w:r>
              <w:rPr>
                <w:b/>
                <w:color w:val="FFFFFF"/>
                <w:sz w:val="20"/>
              </w:rPr>
              <w:t>Feature</w:t>
            </w:r>
          </w:p>
        </w:tc>
        <w:tc>
          <w:tcPr>
            <w:tcW w:type="dxa" w:w="2448"/>
            <w:shd w:val="clear" w:color="auto" w:fill="1F3A68"/>
          </w:tcPr>
          <w:p>
            <w:r>
              <w:rPr>
                <w:b/>
                <w:color w:val="FFFFFF"/>
                <w:sz w:val="20"/>
              </w:rPr>
              <w:t>Provenance</w:t>
            </w:r>
          </w:p>
        </w:tc>
      </w:tr>
      <w:tr>
        <w:tc>
          <w:tcPr>
            <w:tcW w:type="dxa" w:w="6480"/>
            <w:vAlign w:val="center"/>
          </w:tcPr>
          <w:p>
            <w:r>
              <w:rPr>
                <w:sz w:val="20"/>
              </w:rPr>
              <w:t>TOTAL_PRODUCTS</w:t>
            </w:r>
          </w:p>
        </w:tc>
        <w:tc>
          <w:tcPr>
            <w:tcW w:type="dxa" w:w="2448"/>
            <w:vAlign w:val="center"/>
          </w:tcPr>
          <w:p>
            <w:r>
              <w:rPr>
                <w:sz w:val="20"/>
              </w:rPr>
              <w:t>engineered</w:t>
            </w:r>
          </w:p>
        </w:tc>
      </w:tr>
      <w:tr>
        <w:tc>
          <w:tcPr>
            <w:tcW w:type="dxa" w:w="6480"/>
            <w:vAlign w:val="center"/>
          </w:tcPr>
          <w:p>
            <w:r>
              <w:rPr>
                <w:sz w:val="20"/>
              </w:rPr>
              <w:t>BIN_INCOME_T1_x_HOUSE_TYPE</w:t>
            </w:r>
          </w:p>
        </w:tc>
        <w:tc>
          <w:tcPr>
            <w:tcW w:type="dxa" w:w="2448"/>
            <w:vAlign w:val="center"/>
          </w:tcPr>
          <w:p>
            <w:r>
              <w:rPr>
                <w:sz w:val="20"/>
              </w:rPr>
              <w:t>interaction</w:t>
            </w:r>
          </w:p>
        </w:tc>
      </w:tr>
      <w:tr>
        <w:tc>
          <w:tcPr>
            <w:tcW w:type="dxa" w:w="6480"/>
            <w:vAlign w:val="center"/>
          </w:tcPr>
          <w:p>
            <w:r>
              <w:rPr>
                <w:sz w:val="20"/>
              </w:rPr>
              <w:t>BIN_MAX_CREDIT_TJ_AV_x_ESTCLI2</w:t>
            </w:r>
          </w:p>
        </w:tc>
        <w:tc>
          <w:tcPr>
            <w:tcW w:type="dxa" w:w="2448"/>
            <w:vAlign w:val="center"/>
          </w:tcPr>
          <w:p>
            <w:r>
              <w:rPr>
                <w:sz w:val="20"/>
              </w:rPr>
              <w:t>interaction</w:t>
            </w:r>
          </w:p>
        </w:tc>
      </w:tr>
      <w:tr>
        <w:tc>
          <w:tcPr>
            <w:tcW w:type="dxa" w:w="6480"/>
            <w:vAlign w:val="center"/>
          </w:tcPr>
          <w:p>
            <w:r>
              <w:rPr>
                <w:sz w:val="20"/>
              </w:rPr>
              <w:t>BIN_MAX_CREDIT_TJ_AV_x_FAMILY_SITUATION</w:t>
            </w:r>
          </w:p>
        </w:tc>
        <w:tc>
          <w:tcPr>
            <w:tcW w:type="dxa" w:w="2448"/>
            <w:vAlign w:val="center"/>
          </w:tcPr>
          <w:p>
            <w:r>
              <w:rPr>
                <w:sz w:val="20"/>
              </w:rPr>
              <w:t>interaction</w:t>
            </w:r>
          </w:p>
        </w:tc>
      </w:tr>
      <w:tr>
        <w:tc>
          <w:tcPr>
            <w:tcW w:type="dxa" w:w="6480"/>
            <w:vAlign w:val="center"/>
          </w:tcPr>
          <w:p>
            <w:r>
              <w:rPr>
                <w:sz w:val="20"/>
              </w:rPr>
              <w:t>BIN_MAX_CREDIT_TJ_AV_x_HOUSE_TYPE</w:t>
            </w:r>
          </w:p>
        </w:tc>
        <w:tc>
          <w:tcPr>
            <w:tcW w:type="dxa" w:w="2448"/>
            <w:vAlign w:val="center"/>
          </w:tcPr>
          <w:p>
            <w:r>
              <w:rPr>
                <w:sz w:val="20"/>
              </w:rPr>
              <w:t>interaction</w:t>
            </w:r>
          </w:p>
        </w:tc>
      </w:tr>
      <w:tr>
        <w:tc>
          <w:tcPr>
            <w:tcW w:type="dxa" w:w="6480"/>
            <w:vAlign w:val="center"/>
          </w:tcPr>
          <w:p>
            <w:r>
              <w:rPr>
                <w:sz w:val="20"/>
              </w:rPr>
              <w:t>BIN_TOTAL_AMT_x_FAMILY_SITUATION</w:t>
            </w:r>
          </w:p>
        </w:tc>
        <w:tc>
          <w:tcPr>
            <w:tcW w:type="dxa" w:w="2448"/>
            <w:vAlign w:val="center"/>
          </w:tcPr>
          <w:p>
            <w:r>
              <w:rPr>
                <w:sz w:val="20"/>
              </w:rPr>
              <w:t>interaction</w:t>
            </w:r>
          </w:p>
        </w:tc>
      </w:tr>
      <w:tr>
        <w:tc>
          <w:tcPr>
            <w:tcW w:type="dxa" w:w="6480"/>
            <w:vAlign w:val="center"/>
          </w:tcPr>
          <w:p>
            <w:r>
              <w:rPr>
                <w:sz w:val="20"/>
              </w:rPr>
              <w:t>BIN_TOTAL_AMT_x_HOUSE_TYPE</w:t>
            </w:r>
          </w:p>
        </w:tc>
        <w:tc>
          <w:tcPr>
            <w:tcW w:type="dxa" w:w="2448"/>
            <w:vAlign w:val="center"/>
          </w:tcPr>
          <w:p>
            <w:r>
              <w:rPr>
                <w:sz w:val="20"/>
              </w:rPr>
              <w:t>interaction</w:t>
            </w:r>
          </w:p>
        </w:tc>
      </w:tr>
      <w:tr>
        <w:tc>
          <w:tcPr>
            <w:tcW w:type="dxa" w:w="6480"/>
            <w:vAlign w:val="center"/>
          </w:tcPr>
          <w:p>
            <w:r>
              <w:rPr>
                <w:sz w:val="20"/>
              </w:rPr>
              <w:t>INCOME_T1_DIV_MAX_CREDIT_TJ_AV</w:t>
            </w:r>
          </w:p>
        </w:tc>
        <w:tc>
          <w:tcPr>
            <w:tcW w:type="dxa" w:w="2448"/>
            <w:vAlign w:val="center"/>
          </w:tcPr>
          <w:p>
            <w:r>
              <w:rPr>
                <w:sz w:val="20"/>
              </w:rPr>
              <w:t>interaction</w:t>
            </w:r>
          </w:p>
        </w:tc>
      </w:tr>
      <w:tr>
        <w:tc>
          <w:tcPr>
            <w:tcW w:type="dxa" w:w="6480"/>
            <w:vAlign w:val="center"/>
          </w:tcPr>
          <w:p>
            <w:r>
              <w:rPr>
                <w:sz w:val="20"/>
              </w:rPr>
              <w:t>INSTALLMENT_AMT_DIV_MAX_CREDIT_TJ_AV</w:t>
            </w:r>
          </w:p>
        </w:tc>
        <w:tc>
          <w:tcPr>
            <w:tcW w:type="dxa" w:w="2448"/>
            <w:vAlign w:val="center"/>
          </w:tcPr>
          <w:p>
            <w:r>
              <w:rPr>
                <w:sz w:val="20"/>
              </w:rPr>
              <w:t>interaction</w:t>
            </w:r>
          </w:p>
        </w:tc>
      </w:tr>
      <w:tr>
        <w:tc>
          <w:tcPr>
            <w:tcW w:type="dxa" w:w="6480"/>
            <w:vAlign w:val="center"/>
          </w:tcPr>
          <w:p>
            <w:r>
              <w:rPr>
                <w:sz w:val="20"/>
              </w:rPr>
              <w:t>LEFT_TO_LIVE_DIV_MAX_CREDIT_TJ_AV</w:t>
            </w:r>
          </w:p>
        </w:tc>
        <w:tc>
          <w:tcPr>
            <w:tcW w:type="dxa" w:w="2448"/>
            <w:vAlign w:val="center"/>
          </w:tcPr>
          <w:p>
            <w:r>
              <w:rPr>
                <w:sz w:val="20"/>
              </w:rPr>
              <w:t>interaction</w:t>
            </w:r>
          </w:p>
        </w:tc>
      </w:tr>
      <w:tr>
        <w:tc>
          <w:tcPr>
            <w:tcW w:type="dxa" w:w="6480"/>
            <w:vAlign w:val="center"/>
          </w:tcPr>
          <w:p>
            <w:r>
              <w:rPr>
                <w:sz w:val="20"/>
              </w:rPr>
              <w:t>CSECTOR</w:t>
            </w:r>
          </w:p>
        </w:tc>
        <w:tc>
          <w:tcPr>
            <w:tcW w:type="dxa" w:w="2448"/>
            <w:vAlign w:val="center"/>
          </w:tcPr>
          <w:p>
            <w:r>
              <w:rPr>
                <w:sz w:val="20"/>
              </w:rPr>
              <w:t>raw</w:t>
            </w:r>
          </w:p>
        </w:tc>
      </w:tr>
      <w:tr>
        <w:tc>
          <w:tcPr>
            <w:tcW w:type="dxa" w:w="6480"/>
            <w:vAlign w:val="center"/>
          </w:tcPr>
          <w:p>
            <w:r>
              <w:rPr>
                <w:sz w:val="20"/>
              </w:rPr>
              <w:t>CSP</w:t>
            </w:r>
          </w:p>
        </w:tc>
        <w:tc>
          <w:tcPr>
            <w:tcW w:type="dxa" w:w="2448"/>
            <w:vAlign w:val="center"/>
          </w:tcPr>
          <w:p>
            <w:r>
              <w:rPr>
                <w:sz w:val="20"/>
              </w:rPr>
              <w:t>raw</w:t>
            </w:r>
          </w:p>
        </w:tc>
      </w:tr>
    </w:tbl>
    <w:p>
      <w:r>
        <w:rPr>
          <w:b/>
          <w:i w:val="0"/>
          <w:sz w:val="24"/>
        </w:rPr>
        <w:t>Pruning correlated numerics</w:t>
      </w:r>
    </w:p>
    <w:p>
      <w:r>
        <w:rPr>
          <w:b w:val="0"/>
          <w:i w:val="0"/>
          <w:sz w:val="22"/>
        </w:rPr>
        <w:t>Before either selector runs, near-duplicate numeric features (|r| &gt; 0.95 in the discovery sample) are dropped to keep the elastic-net path stable.</w:t>
      </w:r>
    </w:p>
    <w:p>
      <w:r>
        <w:br w:type="page"/>
      </w:r>
    </w:p>
    <w:p>
      <w:pPr>
        <w:pStyle w:val="Heading1"/>
      </w:pPr>
      <w:r>
        <w:rPr>
          <w:color w:val="1F3A68"/>
        </w:rPr>
        <w:t>6.  Models, Hyperparameter Search, and Calibration</w:t>
      </w:r>
    </w:p>
    <w:p>
      <w:r>
        <w:rPr>
          <w:b/>
          <w:i w:val="0"/>
          <w:sz w:val="24"/>
        </w:rPr>
        <w:t>Five candidate model classes</w:t>
      </w:r>
    </w:p>
    <w:p>
      <w:pPr>
        <w:pStyle w:val="ListBullet"/>
      </w:pPr>
      <w:r>
        <w:rPr>
          <w:sz w:val="22"/>
        </w:rPr>
        <w:t>Logistic Regression (L2 penalty, lbfgs solver) — interpretable linear baseline; the regulated industry default.</w:t>
      </w:r>
    </w:p>
    <w:p>
      <w:pPr>
        <w:pStyle w:val="ListBullet"/>
      </w:pPr>
      <w:r>
        <w:rPr>
          <w:sz w:val="22"/>
        </w:rPr>
        <w:t>Explainable Boosting Machine (EBM, an additive GAM with optional pairwise interactions) — captures non-linear shape per feature while remaining inspectable.</w:t>
      </w:r>
    </w:p>
    <w:p>
      <w:pPr>
        <w:pStyle w:val="ListBullet"/>
      </w:pPr>
      <w:r>
        <w:rPr>
          <w:sz w:val="22"/>
        </w:rPr>
        <w:t>LightGBM, XGBoost, CatBoost — gradient-boosted decision trees with monotone constraints applied where domain knowledge dictates direction.</w:t>
      </w:r>
    </w:p>
    <w:p>
      <w:r>
        <w:rPr>
          <w:b/>
          <w:i w:val="0"/>
          <w:sz w:val="24"/>
        </w:rPr>
        <w:t>Hyperparameter optimisation</w:t>
      </w:r>
    </w:p>
    <w:p>
      <w:r>
        <w:rPr>
          <w:b w:val="0"/>
          <w:i w:val="0"/>
          <w:sz w:val="22"/>
        </w:rPr>
        <w:t>Each model class is tuned with Optuna (TPE sampler, multivariate=True). The optimisation objective is mean-fold PR AUC inside the temporal CV. Boosters use early stopping (30 rounds without improvement) and the deployed n_estimators is the median of fold best-iterations. The MedianPruner has a warmup of 3 folds (audit fix J) — the first temporal fold is the smallest and noisiest, so pruning before fold 3 was killing configs that recovered later in the CV sequence.</w:t>
      </w:r>
    </w:p>
    <w:p>
      <w:r>
        <w:rPr>
          <w:b/>
          <w:i w:val="0"/>
          <w:sz w:val="22"/>
        </w:rPr>
        <w:t>Hyperparameter ranges (post-audit)</w:t>
      </w:r>
    </w:p>
    <w:p>
      <w:r>
        <w:rPr>
          <w:b w:val="0"/>
          <w:i w:val="0"/>
          <w:sz w:val="22"/>
        </w:rPr>
        <w:t>Tree-depth bounds were loosened (audit fix A) to [3, 7] across all three boosters, with regularisation upper bounds raised in proportion (min_child_samples to 500, reg_lambda to 100, min_split_gain to 5). The previous [2, 4] / [3, 5] caps forced near-additive trees and were the suspected cause of the persistent LR-vs-tree gap noted in the model handbook.</w:t>
      </w:r>
    </w:p>
    <w:p>
      <w:r>
        <w:rPr>
          <w:b/>
          <w:i w:val="0"/>
          <w:sz w:val="24"/>
        </w:rPr>
        <w:t>Calibration</w:t>
      </w:r>
    </w:p>
    <w:p>
      <w:r>
        <w:rPr>
          <w:b w:val="0"/>
          <w:i w:val="0"/>
          <w:sz w:val="22"/>
        </w:rPr>
        <w:t>Calibration method is selected by model class, not by data-driven goodness-of-fit on the calibration set (which would double-dip the same data). Choice follows Niculescu-Mizil &amp; Caruana (2005): sigmoid (Platt) scaling for log-odds-like outputs (LR, EBM); isotonic for tree models (sigmoid-shaped reliability diagrams). The mapping is centralised in CALIBRATION_METHOD_BY_MODEL (audit fix E) and a regression test pins the assignments.</w:t>
      </w:r>
    </w:p>
    <w:p>
      <w:r>
        <w:rPr>
          <w:b w:val="0"/>
          <w:i w:val="0"/>
          <w:sz w:val="22"/>
        </w:rPr>
        <w:t>The calibration holdout (15% of the development sample, latest temporal block) is checked for minimum-positives sufficiency before use — below 100 observed defaults isotonic regression over-fits and the pipeline emits a warning (audit fix G). In the latest run, the holdout had 151 positives, comfortably above the threshold.</w:t>
      </w:r>
    </w:p>
    <w:p>
      <w:r>
        <w:br w:type="page"/>
      </w:r>
    </w:p>
    <w:p>
      <w:pPr>
        <w:pStyle w:val="Heading1"/>
      </w:pPr>
      <w:r>
        <w:rPr>
          <w:color w:val="1F3A68"/>
        </w:rPr>
        <w:t>7.  Validation Methodology</w:t>
      </w:r>
    </w:p>
    <w:p>
      <w:r>
        <w:rPr>
          <w:b/>
          <w:i w:val="0"/>
          <w:sz w:val="24"/>
        </w:rPr>
        <w:t>Temporal expanding cross-validation</w:t>
      </w:r>
    </w:p>
    <w:p>
      <w:r>
        <w:rPr>
          <w:b w:val="0"/>
          <w:i w:val="0"/>
          <w:sz w:val="22"/>
        </w:rPr>
        <w:t>All cross-validation in the pipeline uses TemporalExpandingCV. The validator constructs folds whose validation block is strictly later than the training block by date. It refuses to construct an empty fold and asserts train_max &lt; val_min for every fold — a hard guarantee against look-ahead leakage.</w:t>
      </w:r>
    </w:p>
    <w:p>
      <w:r>
        <w:rPr>
          <w:b/>
          <w:i w:val="0"/>
          <w:sz w:val="24"/>
        </w:rPr>
        <w:t>Rolling out-of-time validation</w:t>
      </w:r>
    </w:p>
    <w:p>
      <w:r>
        <w:rPr>
          <w:b w:val="0"/>
          <w:i w:val="0"/>
          <w:sz w:val="22"/>
        </w:rPr>
        <w:t>After model fit, each candidate is evaluated on a sequence of rolling out-of-time windows constructed from the pre-test data. The pipeline reports per-fold PR AUC, ROC AUC, and Brier score, plus a concept-drift flag triggered when the first-vs-last fold delta in PR AUC is at least 0.02 negative. Rolling-OOT mean PR AUC feeds the stability dimension of the model selector.</w:t>
      </w:r>
    </w:p>
    <w:p>
      <w:r>
        <w:rPr>
          <w:b/>
          <w:i w:val="0"/>
          <w:sz w:val="24"/>
        </w:rPr>
        <w:t>Bootstrap confidence intervals (BCa)</w:t>
      </w:r>
    </w:p>
    <w:p>
      <w:r>
        <w:rPr>
          <w:b w:val="0"/>
          <w:i w:val="0"/>
          <w:sz w:val="22"/>
        </w:rPr>
        <w:t>Headline metrics are reported with bias-corrected and accelerated (BCa) bootstrap 95% confidence intervals (audit fix C). PR AUC on an imbalanced default-prediction problem has noticeably skewed bootstrap distributions, and the percentile method that the pipeline previously used under-covers in the lower tail. The BCa correction uses a block-jackknife acceleration term (one block per month when dates are available, otherwise 100 equal-size index chunks). When the BCa adjustment is degenerate (insufficient jackknife blocks or all bootstraps on one side of the observed value), the implementation falls back to the percentile method gracefully.</w:t>
      </w:r>
    </w:p>
    <w:p>
      <w:r>
        <w:br w:type="page"/>
      </w:r>
    </w:p>
    <w:p>
      <w:pPr>
        <w:pStyle w:val="Heading1"/>
      </w:pPr>
      <w:r>
        <w:rPr>
          <w:color w:val="1F3A68"/>
        </w:rPr>
        <w:t>8.  Reject Inference (when enabled)</w:t>
      </w:r>
    </w:p>
    <w:p>
      <w:r>
        <w:rPr>
          <w:b w:val="0"/>
          <w:i w:val="0"/>
          <w:sz w:val="22"/>
        </w:rPr>
        <w:t>Reject inference is supported but not enabled in the latest run. The methodology is documented here for completeness because it is part of the pipeline's audited behaviour.</w:t>
      </w:r>
    </w:p>
    <w:p>
      <w:r>
        <w:rPr>
          <w:b/>
          <w:i w:val="0"/>
          <w:sz w:val="24"/>
        </w:rPr>
        <w:t>Score-band parcelling</w:t>
      </w:r>
    </w:p>
    <w:p>
      <w:r>
        <w:rPr>
          <w:b w:val="0"/>
          <w:i w:val="0"/>
          <w:sz w:val="22"/>
        </w:rPr>
        <w:t>Following Hand &amp; Henley (1997), the pipeline computes booked-account default rates within score-quantile bands using only pre-split, fully matured booked rows. Each rejected applicant is then assigned to a band by the existing risk_score_rf and given a pseudo-default probability equal to the band's observed bad rate × a calibration multiplier (1.5×, capped at 0.50). The multiplier reflects the literature consensus that rejected populations are typically 1.5–4× riskier than booked at the same band; 1.5 is the conservative end of that range.</w:t>
      </w:r>
    </w:p>
    <w:p>
      <w:r>
        <w:rPr>
          <w:b/>
          <w:i w:val="0"/>
          <w:sz w:val="24"/>
        </w:rPr>
        <w:t>Deterministic 2× row expansion (audit fix I)</w:t>
      </w:r>
    </w:p>
    <w:p>
      <w:r>
        <w:rPr>
          <w:b w:val="0"/>
          <w:i w:val="0"/>
          <w:sz w:val="22"/>
        </w:rPr>
        <w:t>Each rejected applicant is materialised as two rows in the augmented training set: one labelled bad with weight p · w, and one labelled good with weight (1 − p) · w, where p is the band-derived pseudo-default probability and w is REJECT_SAMPLE_WEIGHT (0.5). The pair's expected gradient contribution is identical to a Bernoulli(p) draw — but with no Monte Carlo noise and full reproducibility across seeds. The previous Bernoulli implementation made the labels sensitive to RANDOM_STATE; the deterministic expansion eliminates that source of run-to-run variability.</w:t>
      </w:r>
    </w:p>
    <w:p>
      <w:r>
        <w:rPr>
          <w:b/>
          <w:i w:val="0"/>
          <w:sz w:val="24"/>
        </w:rPr>
        <w:t>Pre-split contract</w:t>
      </w:r>
    </w:p>
    <w:p>
      <w:r>
        <w:rPr>
          <w:b w:val="0"/>
          <w:i w:val="0"/>
          <w:sz w:val="22"/>
        </w:rPr>
        <w:t>The band-stats DataFrame carries a pre_split_only attribute that the pseudo-label assigner asserts on entry. If a future modification ever computed band stats from post-split data, the pseudo-label step would refuse to run. This is a regulator-defensible separation of concerns.</w:t>
      </w:r>
    </w:p>
    <w:p>
      <w:r>
        <w:br w:type="page"/>
      </w:r>
    </w:p>
    <w:p>
      <w:pPr>
        <w:pStyle w:val="Heading1"/>
      </w:pPr>
      <w:r>
        <w:rPr>
          <w:color w:val="1F3A68"/>
        </w:rPr>
        <w:t>9.  Model Selection Criteria</w:t>
      </w:r>
    </w:p>
    <w:p>
      <w:r>
        <w:rPr>
          <w:b/>
          <w:i w:val="0"/>
          <w:sz w:val="24"/>
        </w:rPr>
        <w:t>Five-criterion weighted score</w:t>
      </w:r>
    </w:p>
    <w:p>
      <w:r>
        <w:rPr>
          <w:b w:val="0"/>
          <w:i w:val="0"/>
          <w:sz w:val="22"/>
        </w:rPr>
        <w:t>Each candidate is min-max scaled to [0, 100] on five dimensions, then combined via the weights below.</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4608"/>
            <w:shd w:val="clear" w:color="auto" w:fill="1F3A68"/>
          </w:tcPr>
          <w:p>
            <w:r>
              <w:rPr>
                <w:b/>
                <w:color w:val="FFFFFF"/>
                <w:sz w:val="20"/>
              </w:rPr>
              <w:t>Dimension</w:t>
            </w:r>
          </w:p>
        </w:tc>
        <w:tc>
          <w:tcPr>
            <w:tcW w:type="dxa" w:w="1296"/>
            <w:shd w:val="clear" w:color="auto" w:fill="1F3A68"/>
          </w:tcPr>
          <w:p>
            <w:r>
              <w:rPr>
                <w:b/>
                <w:color w:val="FFFFFF"/>
                <w:sz w:val="20"/>
              </w:rPr>
              <w:t>Weight</w:t>
            </w:r>
          </w:p>
        </w:tc>
        <w:tc>
          <w:tcPr>
            <w:tcW w:type="dxa" w:w="3600"/>
            <w:shd w:val="clear" w:color="auto" w:fill="1F3A68"/>
          </w:tcPr>
          <w:p>
            <w:r>
              <w:rPr>
                <w:b/>
                <w:color w:val="FFFFFF"/>
                <w:sz w:val="20"/>
              </w:rPr>
              <w:t>Source</w:t>
            </w:r>
          </w:p>
        </w:tc>
      </w:tr>
      <w:tr>
        <w:tc>
          <w:tcPr>
            <w:tcW w:type="dxa" w:w="4608"/>
            <w:vAlign w:val="center"/>
          </w:tcPr>
          <w:p>
            <w:r>
              <w:rPr>
                <w:sz w:val="20"/>
              </w:rPr>
              <w:t>Discrimination (test PR AUC)</w:t>
            </w:r>
          </w:p>
        </w:tc>
        <w:tc>
          <w:tcPr>
            <w:tcW w:type="dxa" w:w="1296"/>
            <w:vAlign w:val="center"/>
          </w:tcPr>
          <w:p>
            <w:r>
              <w:rPr>
                <w:sz w:val="20"/>
              </w:rPr>
              <w:t>35%</w:t>
            </w:r>
          </w:p>
        </w:tc>
        <w:tc>
          <w:tcPr>
            <w:tcW w:type="dxa" w:w="3600"/>
            <w:vAlign w:val="center"/>
          </w:tcPr>
          <w:p>
            <w:r>
              <w:rPr>
                <w:sz w:val="20"/>
              </w:rPr>
              <w:t>Primary lift driver</w:t>
            </w:r>
          </w:p>
        </w:tc>
      </w:tr>
      <w:tr>
        <w:tc>
          <w:tcPr>
            <w:tcW w:type="dxa" w:w="4608"/>
            <w:vAlign w:val="center"/>
          </w:tcPr>
          <w:p>
            <w:r>
              <w:rPr>
                <w:sz w:val="20"/>
              </w:rPr>
              <w:t>Stability (rolling-OOT mean PR AUC)</w:t>
            </w:r>
          </w:p>
        </w:tc>
        <w:tc>
          <w:tcPr>
            <w:tcW w:type="dxa" w:w="1296"/>
            <w:vAlign w:val="center"/>
          </w:tcPr>
          <w:p>
            <w:r>
              <w:rPr>
                <w:sz w:val="20"/>
              </w:rPr>
              <w:t>20%</w:t>
            </w:r>
          </w:p>
        </w:tc>
        <w:tc>
          <w:tcPr>
            <w:tcW w:type="dxa" w:w="3600"/>
            <w:vAlign w:val="center"/>
          </w:tcPr>
          <w:p>
            <w:r>
              <w:rPr>
                <w:sz w:val="20"/>
              </w:rPr>
              <w:t>Robustness over time</w:t>
            </w:r>
          </w:p>
        </w:tc>
      </w:tr>
      <w:tr>
        <w:tc>
          <w:tcPr>
            <w:tcW w:type="dxa" w:w="4608"/>
            <w:vAlign w:val="center"/>
          </w:tcPr>
          <w:p>
            <w:r>
              <w:rPr>
                <w:sz w:val="20"/>
              </w:rPr>
              <w:t>Calibration (calibrated Brier)</w:t>
            </w:r>
          </w:p>
        </w:tc>
        <w:tc>
          <w:tcPr>
            <w:tcW w:type="dxa" w:w="1296"/>
            <w:vAlign w:val="center"/>
          </w:tcPr>
          <w:p>
            <w:r>
              <w:rPr>
                <w:sz w:val="20"/>
              </w:rPr>
              <w:t>15%</w:t>
            </w:r>
          </w:p>
        </w:tc>
        <w:tc>
          <w:tcPr>
            <w:tcW w:type="dxa" w:w="3600"/>
            <w:vAlign w:val="center"/>
          </w:tcPr>
          <w:p>
            <w:r>
              <w:rPr>
                <w:sz w:val="20"/>
              </w:rPr>
              <w:t>Probability quality</w:t>
            </w:r>
          </w:p>
        </w:tc>
      </w:tr>
      <w:tr>
        <w:tc>
          <w:tcPr>
            <w:tcW w:type="dxa" w:w="4608"/>
            <w:vAlign w:val="center"/>
          </w:tcPr>
          <w:p>
            <w:r>
              <w:rPr>
                <w:sz w:val="20"/>
              </w:rPr>
              <w:t>Generalisation (overfit penalty)</w:t>
            </w:r>
          </w:p>
        </w:tc>
        <w:tc>
          <w:tcPr>
            <w:tcW w:type="dxa" w:w="1296"/>
            <w:vAlign w:val="center"/>
          </w:tcPr>
          <w:p>
            <w:r>
              <w:rPr>
                <w:sz w:val="20"/>
              </w:rPr>
              <w:t>15%</w:t>
            </w:r>
          </w:p>
        </w:tc>
        <w:tc>
          <w:tcPr>
            <w:tcW w:type="dxa" w:w="3600"/>
            <w:vAlign w:val="center"/>
          </w:tcPr>
          <w:p>
            <w:r>
              <w:rPr>
                <w:sz w:val="20"/>
              </w:rPr>
              <w:t>Train-test deltas</w:t>
            </w:r>
          </w:p>
        </w:tc>
      </w:tr>
      <w:tr>
        <w:tc>
          <w:tcPr>
            <w:tcW w:type="dxa" w:w="4608"/>
            <w:vAlign w:val="center"/>
          </w:tcPr>
          <w:p>
            <w:r>
              <w:rPr>
                <w:sz w:val="20"/>
              </w:rPr>
              <w:t>Benchmark lift</w:t>
            </w:r>
          </w:p>
        </w:tc>
        <w:tc>
          <w:tcPr>
            <w:tcW w:type="dxa" w:w="1296"/>
            <w:vAlign w:val="center"/>
          </w:tcPr>
          <w:p>
            <w:r>
              <w:rPr>
                <w:sz w:val="20"/>
              </w:rPr>
              <w:t>15%</w:t>
            </w:r>
          </w:p>
        </w:tc>
        <w:tc>
          <w:tcPr>
            <w:tcW w:type="dxa" w:w="3600"/>
            <w:vAlign w:val="center"/>
          </w:tcPr>
          <w:p>
            <w:r>
              <w:rPr>
                <w:sz w:val="20"/>
              </w:rPr>
              <w:t>Improvement vs. existing scores</w:t>
            </w:r>
          </w:p>
        </w:tc>
      </w:tr>
    </w:tbl>
    <w:p>
      <w:r>
        <w:rPr>
          <w:b/>
          <w:i w:val="0"/>
          <w:sz w:val="24"/>
        </w:rPr>
        <w:t>Generalisation uses max(AUC delta, PR-AUC delta) (audit fix D)</w:t>
      </w:r>
    </w:p>
    <w:p>
      <w:r>
        <w:rPr>
          <w:b w:val="0"/>
          <w:i w:val="0"/>
          <w:sz w:val="22"/>
        </w:rPr>
        <w:t>The previous implementation penalised only the AUC delta, which on an imbalanced target hides tree-model overfit that is visible in precision-recall space. The post-fix penalty uses the larger of the two deltas; the penalty curve is unchanged (zero below 0.01, ramping to 100 at 0.10).</w:t>
      </w:r>
    </w:p>
    <w:p>
      <w:r>
        <w:rPr>
          <w:b/>
          <w:i w:val="0"/>
          <w:sz w:val="24"/>
        </w:rPr>
        <w:t>Absolute quality floor (audit fix K)</w:t>
      </w:r>
    </w:p>
    <w:p>
      <w:r>
        <w:rPr>
          <w:b w:val="0"/>
          <w:i w:val="0"/>
          <w:sz w:val="22"/>
        </w:rPr>
        <w:t>Because the weighted score is min-max scaled per dimension across the candidate set, one model always wins by being least-bad even when every candidate is genuinely poor. The selector requires the winner to clear an absolute weighted_score ≥ 50 floor; below this the pipeline produces no recommendation, and the model_selection.csv artifact records meets_quality_floor = False for every candidate. This prevents the pipeline from silently endorsing a weak model.</w:t>
      </w:r>
    </w:p>
    <w:p>
      <w:r>
        <w:rPr>
          <w:b/>
          <w:i w:val="0"/>
          <w:sz w:val="24"/>
        </w:rPr>
        <w:t>Tie-break order within the selection band</w:t>
      </w:r>
    </w:p>
    <w:p>
      <w:r>
        <w:rPr>
          <w:b w:val="0"/>
          <w:i w:val="0"/>
          <w:sz w:val="22"/>
        </w:rPr>
        <w:t>All candidates within 2 weighted-score points of the leader form a selection band. Inside the band, the winner is chosen by lexicographic tiebreak: benchmark evidence tier, conservative AUC lift lower bound, generalisation score, calibration score, discrimination score, stability score, weighted score, test PR AUC, test AUC. The bias is deliberately toward simpler interpretable models when discrimination is statistically indistinguishable.</w:t>
      </w:r>
    </w:p>
    <w:p>
      <w:r>
        <w:br w:type="page"/>
      </w:r>
    </w:p>
    <w:p>
      <w:pPr>
        <w:pStyle w:val="Heading1"/>
      </w:pPr>
      <w:r>
        <w:rPr>
          <w:color w:val="1F3A68"/>
        </w:rPr>
        <w:t>10.  Diagnostics</w:t>
      </w:r>
    </w:p>
    <w:p>
      <w:r>
        <w:rPr>
          <w:b/>
          <w:i w:val="0"/>
          <w:sz w:val="24"/>
        </w:rPr>
        <w:t>Population stability (PSI / CSI)</w:t>
      </w:r>
    </w:p>
    <w:p>
      <w:r>
        <w:rPr>
          <w:b w:val="0"/>
          <w:i w:val="0"/>
          <w:sz w:val="22"/>
        </w:rPr>
        <w:t>PSI measures the drift in predicted-probability distribution between training and test; CSI does the same per feature. Industry-standard thresholds are applied: PSI &lt; 0.10 is OK, 0.10–0.25 is moderate, ≥ 0.25 is high drift (Karakoulas, 2004). High-drift features and high-drift model scores are flagged in the per-run report.</w:t>
      </w:r>
    </w:p>
    <w:p>
      <w:r>
        <w:rPr>
          <w:b/>
          <w:i w:val="0"/>
          <w:sz w:val="22"/>
        </w:rPr>
        <w:t>Latest run PSI by model</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1F3A68"/>
          </w:tcPr>
          <w:p>
            <w:r>
              <w:rPr>
                <w:b/>
                <w:color w:val="FFFFFF"/>
                <w:sz w:val="20"/>
              </w:rPr>
              <w:t>Model</w:t>
            </w:r>
          </w:p>
        </w:tc>
        <w:tc>
          <w:tcPr>
            <w:tcW w:type="dxa" w:w="1728"/>
            <w:shd w:val="clear" w:color="auto" w:fill="1F3A68"/>
          </w:tcPr>
          <w:p>
            <w:r>
              <w:rPr>
                <w:b/>
                <w:color w:val="FFFFFF"/>
                <w:sz w:val="20"/>
              </w:rPr>
              <w:t>PSI</w:t>
            </w:r>
          </w:p>
        </w:tc>
      </w:tr>
      <w:tr>
        <w:tc>
          <w:tcPr>
            <w:tcW w:type="dxa" w:w="4320"/>
            <w:vAlign w:val="center"/>
          </w:tcPr>
          <w:p>
            <w:r>
              <w:rPr>
                <w:sz w:val="20"/>
              </w:rPr>
              <w:t>Logistic Regression</w:t>
            </w:r>
          </w:p>
        </w:tc>
        <w:tc>
          <w:tcPr>
            <w:tcW w:type="dxa" w:w="1728"/>
            <w:vAlign w:val="center"/>
          </w:tcPr>
          <w:p>
            <w:r>
              <w:rPr>
                <w:sz w:val="20"/>
              </w:rPr>
              <w:t>0.0370</w:t>
            </w:r>
          </w:p>
        </w:tc>
      </w:tr>
      <w:tr>
        <w:tc>
          <w:tcPr>
            <w:tcW w:type="dxa" w:w="4320"/>
            <w:vAlign w:val="center"/>
          </w:tcPr>
          <w:p>
            <w:r>
              <w:rPr>
                <w:sz w:val="20"/>
              </w:rPr>
              <w:t>EBM</w:t>
            </w:r>
          </w:p>
        </w:tc>
        <w:tc>
          <w:tcPr>
            <w:tcW w:type="dxa" w:w="1728"/>
            <w:vAlign w:val="center"/>
          </w:tcPr>
          <w:p>
            <w:r>
              <w:rPr>
                <w:sz w:val="20"/>
              </w:rPr>
              <w:t>0.0300</w:t>
            </w:r>
          </w:p>
        </w:tc>
      </w:tr>
      <w:tr>
        <w:tc>
          <w:tcPr>
            <w:tcW w:type="dxa" w:w="4320"/>
            <w:vAlign w:val="center"/>
          </w:tcPr>
          <w:p>
            <w:r>
              <w:rPr>
                <w:sz w:val="20"/>
              </w:rPr>
              <w:t>LightGBM</w:t>
            </w:r>
          </w:p>
        </w:tc>
        <w:tc>
          <w:tcPr>
            <w:tcW w:type="dxa" w:w="1728"/>
            <w:vAlign w:val="center"/>
          </w:tcPr>
          <w:p>
            <w:r>
              <w:rPr>
                <w:sz w:val="20"/>
              </w:rPr>
              <w:t>0.0235</w:t>
            </w:r>
          </w:p>
        </w:tc>
      </w:tr>
      <w:tr>
        <w:tc>
          <w:tcPr>
            <w:tcW w:type="dxa" w:w="4320"/>
            <w:vAlign w:val="center"/>
          </w:tcPr>
          <w:p>
            <w:r>
              <w:rPr>
                <w:sz w:val="20"/>
              </w:rPr>
              <w:t>XGBoost</w:t>
            </w:r>
          </w:p>
        </w:tc>
        <w:tc>
          <w:tcPr>
            <w:tcW w:type="dxa" w:w="1728"/>
            <w:vAlign w:val="center"/>
          </w:tcPr>
          <w:p>
            <w:r>
              <w:rPr>
                <w:sz w:val="20"/>
              </w:rPr>
              <w:t>0.1042</w:t>
            </w:r>
          </w:p>
        </w:tc>
      </w:tr>
      <w:tr>
        <w:tc>
          <w:tcPr>
            <w:tcW w:type="dxa" w:w="4320"/>
            <w:vAlign w:val="center"/>
          </w:tcPr>
          <w:p>
            <w:r>
              <w:rPr>
                <w:sz w:val="20"/>
              </w:rPr>
              <w:t>CatBoost</w:t>
            </w:r>
          </w:p>
        </w:tc>
        <w:tc>
          <w:tcPr>
            <w:tcW w:type="dxa" w:w="1728"/>
            <w:vAlign w:val="center"/>
          </w:tcPr>
          <w:p>
            <w:r>
              <w:rPr>
                <w:sz w:val="20"/>
              </w:rPr>
              <w:t>0.7136</w:t>
            </w:r>
          </w:p>
        </w:tc>
      </w:tr>
    </w:tbl>
    <w:p>
      <w:r>
        <w:rPr>
          <w:b/>
          <w:i w:val="0"/>
          <w:sz w:val="24"/>
        </w:rPr>
        <w:t>Overfit detection</w:t>
      </w:r>
    </w:p>
    <w:p>
      <w:r>
        <w:rPr>
          <w:b w:val="0"/>
          <w:i w:val="0"/>
          <w:sz w:val="22"/>
        </w:rPr>
        <w:t>The overfit report computes train-vs-test deltas in AUC, PR AUC, Brier, and KS for every model. A model is flagged as YES if either delta exceeds 0.03 — a deliberately strict threshold relative to the industry rule-of-thumb of 0.05.</w:t>
      </w:r>
    </w:p>
    <w:p>
      <w:r>
        <w:rPr>
          <w:b/>
          <w:i w:val="0"/>
          <w:sz w:val="24"/>
        </w:rPr>
        <w:t>Concept drift</w:t>
      </w:r>
    </w:p>
    <w:p>
      <w:r>
        <w:rPr>
          <w:b w:val="0"/>
          <w:i w:val="0"/>
          <w:sz w:val="22"/>
        </w:rPr>
        <w:t>The concept-drift report fits a slope through the per-fold rolling-OOT PR AUC. A model is flagged as drifting if the slope is negative and the first-vs-last delta is below −0.02. Smaller monotonic drops surface in the slope metric without raising the flag.</w:t>
      </w:r>
    </w:p>
    <w:p>
      <w:r>
        <w:rPr>
          <w:b/>
          <w:i w:val="0"/>
          <w:sz w:val="24"/>
        </w:rPr>
        <w:t>WoE / IV analysis</w:t>
      </w:r>
    </w:p>
    <w:p>
      <w:r>
        <w:rPr>
          <w:b w:val="0"/>
          <w:i w:val="0"/>
          <w:sz w:val="22"/>
        </w:rPr>
        <w:t>Weight-of-evidence and information-value tables are computed per feature on the training sample for transparency: a regulator can audit which features carry the strongest univariate signal independently of the modelling fit.</w:t>
      </w:r>
    </w:p>
    <w:p>
      <w:r>
        <w:rPr>
          <w:b/>
          <w:i w:val="0"/>
          <w:sz w:val="24"/>
        </w:rPr>
        <w:t>Adverse impact analysis (fair-lending)</w:t>
      </w:r>
    </w:p>
    <w:p>
      <w:r>
        <w:rPr>
          <w:b w:val="0"/>
          <w:i w:val="0"/>
          <w:sz w:val="22"/>
        </w:rPr>
        <w:t>An adverse-impact ratio (AIR) is computed per age band at the 10% rejection threshold. A band whose rejection rate is below 80% of the most-favoured band's rate is flagged. AIR is a fair-lending screen, not a definitive disparity test; flags warrant human review of the underlying feature dependencies.</w:t>
      </w:r>
    </w:p>
    <w:p>
      <w:r>
        <w:br w:type="page"/>
      </w:r>
    </w:p>
    <w:p>
      <w:pPr>
        <w:pStyle w:val="Heading1"/>
      </w:pPr>
      <w:r>
        <w:rPr>
          <w:color w:val="1F3A68"/>
        </w:rPr>
        <w:t>11.  Results — Overall Performance</w:t>
      </w:r>
    </w:p>
    <w:p>
      <w:r>
        <w:rPr>
          <w:b/>
          <w:i w:val="0"/>
          <w:sz w:val="24"/>
        </w:rPr>
        <w:t>Test-set headline metrics (booked-proxy)</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080"/>
        <w:gridCol w:w="1080"/>
        <w:gridCol w:w="1080"/>
        <w:gridCol w:w="1080"/>
        <w:gridCol w:w="1080"/>
        <w:gridCol w:w="1080"/>
        <w:gridCol w:w="1080"/>
        <w:gridCol w:w="1080"/>
      </w:tblGrid>
      <w:tr>
        <w:tc>
          <w:tcPr>
            <w:tcW w:type="dxa" w:w="2880"/>
            <w:shd w:val="clear" w:color="auto" w:fill="1F3A68"/>
          </w:tcPr>
          <w:p>
            <w:r>
              <w:rPr>
                <w:b/>
                <w:color w:val="FFFFFF"/>
                <w:sz w:val="20"/>
              </w:rPr>
              <w:t>Model</w:t>
            </w:r>
          </w:p>
        </w:tc>
        <w:tc>
          <w:tcPr>
            <w:tcW w:type="dxa" w:w="1152"/>
            <w:shd w:val="clear" w:color="auto" w:fill="1F3A68"/>
          </w:tcPr>
          <w:p>
            <w:r>
              <w:rPr>
                <w:b/>
                <w:color w:val="FFFFFF"/>
                <w:sz w:val="20"/>
              </w:rPr>
              <w:t>ROC AUC</w:t>
            </w:r>
          </w:p>
        </w:tc>
        <w:tc>
          <w:tcPr>
            <w:tcW w:type="dxa" w:w="1872"/>
            <w:shd w:val="clear" w:color="auto" w:fill="1F3A68"/>
          </w:tcPr>
          <w:p>
            <w:r>
              <w:rPr>
                <w:b/>
                <w:color w:val="FFFFFF"/>
                <w:sz w:val="20"/>
              </w:rPr>
              <w:t>AUC 95% CI (BCa)</w:t>
            </w:r>
          </w:p>
        </w:tc>
        <w:tc>
          <w:tcPr>
            <w:tcW w:type="dxa" w:w="1008"/>
            <w:shd w:val="clear" w:color="auto" w:fill="1F3A68"/>
          </w:tcPr>
          <w:p>
            <w:r>
              <w:rPr>
                <w:b/>
                <w:color w:val="FFFFFF"/>
                <w:sz w:val="20"/>
              </w:rPr>
              <w:t>Gini</w:t>
            </w:r>
          </w:p>
        </w:tc>
        <w:tc>
          <w:tcPr>
            <w:tcW w:type="dxa" w:w="1008"/>
            <w:shd w:val="clear" w:color="auto" w:fill="1F3A68"/>
          </w:tcPr>
          <w:p>
            <w:r>
              <w:rPr>
                <w:b/>
                <w:color w:val="FFFFFF"/>
                <w:sz w:val="20"/>
              </w:rPr>
              <w:t>KS</w:t>
            </w:r>
          </w:p>
        </w:tc>
        <w:tc>
          <w:tcPr>
            <w:tcW w:type="dxa" w:w="1008"/>
            <w:shd w:val="clear" w:color="auto" w:fill="1F3A68"/>
          </w:tcPr>
          <w:p>
            <w:r>
              <w:rPr>
                <w:b/>
                <w:color w:val="FFFFFF"/>
                <w:sz w:val="20"/>
              </w:rPr>
              <w:t>PR AUC</w:t>
            </w:r>
          </w:p>
        </w:tc>
        <w:tc>
          <w:tcPr>
            <w:tcW w:type="dxa" w:w="1872"/>
            <w:shd w:val="clear" w:color="auto" w:fill="1F3A68"/>
          </w:tcPr>
          <w:p>
            <w:r>
              <w:rPr>
                <w:b/>
                <w:color w:val="FFFFFF"/>
                <w:sz w:val="20"/>
              </w:rPr>
              <w:t>PR AUC 95% CI (BCa)</w:t>
            </w:r>
          </w:p>
        </w:tc>
        <w:tc>
          <w:tcPr>
            <w:tcW w:type="dxa" w:w="1008"/>
            <w:shd w:val="clear" w:color="auto" w:fill="1F3A68"/>
          </w:tcPr>
          <w:p>
            <w:r>
              <w:rPr>
                <w:b/>
                <w:color w:val="FFFFFF"/>
                <w:sz w:val="20"/>
              </w:rPr>
              <w:t>Brier</w:t>
            </w:r>
          </w:p>
        </w:tc>
      </w:tr>
      <w:tr>
        <w:tc>
          <w:tcPr>
            <w:tcW w:type="dxa" w:w="2880"/>
            <w:vAlign w:val="center"/>
          </w:tcPr>
          <w:p>
            <w:r>
              <w:rPr>
                <w:sz w:val="20"/>
              </w:rPr>
              <w:t>Logistic Regression (calibrated)</w:t>
            </w:r>
          </w:p>
        </w:tc>
        <w:tc>
          <w:tcPr>
            <w:tcW w:type="dxa" w:w="1152"/>
            <w:vAlign w:val="center"/>
          </w:tcPr>
          <w:p>
            <w:r>
              <w:rPr>
                <w:sz w:val="20"/>
              </w:rPr>
              <w:t>0.6673</w:t>
            </w:r>
          </w:p>
        </w:tc>
        <w:tc>
          <w:tcPr>
            <w:tcW w:type="dxa" w:w="1872"/>
            <w:vAlign w:val="center"/>
          </w:tcPr>
          <w:p>
            <w:r>
              <w:rPr>
                <w:sz w:val="20"/>
              </w:rPr>
              <w:t>[0.646, 0.682]</w:t>
            </w:r>
          </w:p>
        </w:tc>
        <w:tc>
          <w:tcPr>
            <w:tcW w:type="dxa" w:w="1008"/>
            <w:vAlign w:val="center"/>
          </w:tcPr>
          <w:p>
            <w:r>
              <w:rPr>
                <w:sz w:val="20"/>
              </w:rPr>
              <w:t>0.3347</w:t>
            </w:r>
          </w:p>
        </w:tc>
        <w:tc>
          <w:tcPr>
            <w:tcW w:type="dxa" w:w="1008"/>
            <w:vAlign w:val="center"/>
          </w:tcPr>
          <w:p>
            <w:r>
              <w:rPr>
                <w:sz w:val="20"/>
              </w:rPr>
              <w:t>0.2617</w:t>
            </w:r>
          </w:p>
        </w:tc>
        <w:tc>
          <w:tcPr>
            <w:tcW w:type="dxa" w:w="1008"/>
            <w:vAlign w:val="center"/>
          </w:tcPr>
          <w:p>
            <w:r>
              <w:rPr>
                <w:sz w:val="20"/>
              </w:rPr>
              <w:t>0.0648</w:t>
            </w:r>
          </w:p>
        </w:tc>
        <w:tc>
          <w:tcPr>
            <w:tcW w:type="dxa" w:w="1872"/>
            <w:vAlign w:val="center"/>
          </w:tcPr>
          <w:p>
            <w:r>
              <w:rPr>
                <w:sz w:val="20"/>
              </w:rPr>
              <w:t>[0.057, 0.081]</w:t>
            </w:r>
          </w:p>
        </w:tc>
        <w:tc>
          <w:tcPr>
            <w:tcW w:type="dxa" w:w="1008"/>
            <w:vAlign w:val="center"/>
          </w:tcPr>
          <w:p>
            <w:r>
              <w:rPr>
                <w:sz w:val="20"/>
              </w:rPr>
              <w:t>0.0366</w:t>
            </w:r>
          </w:p>
        </w:tc>
      </w:tr>
      <w:tr>
        <w:tc>
          <w:tcPr>
            <w:tcW w:type="dxa" w:w="2880"/>
            <w:vAlign w:val="center"/>
          </w:tcPr>
          <w:p>
            <w:r>
              <w:rPr>
                <w:sz w:val="20"/>
              </w:rPr>
              <w:t>EBM (calibrated)</w:t>
            </w:r>
          </w:p>
        </w:tc>
        <w:tc>
          <w:tcPr>
            <w:tcW w:type="dxa" w:w="1152"/>
            <w:vAlign w:val="center"/>
          </w:tcPr>
          <w:p>
            <w:r>
              <w:rPr>
                <w:sz w:val="20"/>
              </w:rPr>
              <w:t>0.6468</w:t>
            </w:r>
          </w:p>
        </w:tc>
        <w:tc>
          <w:tcPr>
            <w:tcW w:type="dxa" w:w="1872"/>
            <w:vAlign w:val="center"/>
          </w:tcPr>
          <w:p>
            <w:r>
              <w:rPr>
                <w:sz w:val="20"/>
              </w:rPr>
              <w:t>[0.631, 0.658]</w:t>
            </w:r>
          </w:p>
        </w:tc>
        <w:tc>
          <w:tcPr>
            <w:tcW w:type="dxa" w:w="1008"/>
            <w:vAlign w:val="center"/>
          </w:tcPr>
          <w:p>
            <w:r>
              <w:rPr>
                <w:sz w:val="20"/>
              </w:rPr>
              <w:t>0.2935</w:t>
            </w:r>
          </w:p>
        </w:tc>
        <w:tc>
          <w:tcPr>
            <w:tcW w:type="dxa" w:w="1008"/>
            <w:vAlign w:val="center"/>
          </w:tcPr>
          <w:p>
            <w:r>
              <w:rPr>
                <w:sz w:val="20"/>
              </w:rPr>
              <w:t>0.2401</w:t>
            </w:r>
          </w:p>
        </w:tc>
        <w:tc>
          <w:tcPr>
            <w:tcW w:type="dxa" w:w="1008"/>
            <w:vAlign w:val="center"/>
          </w:tcPr>
          <w:p>
            <w:r>
              <w:rPr>
                <w:sz w:val="20"/>
              </w:rPr>
              <w:t>0.0626</w:t>
            </w:r>
          </w:p>
        </w:tc>
        <w:tc>
          <w:tcPr>
            <w:tcW w:type="dxa" w:w="1872"/>
            <w:vAlign w:val="center"/>
          </w:tcPr>
          <w:p>
            <w:r>
              <w:rPr>
                <w:sz w:val="20"/>
              </w:rPr>
              <w:t>[0.062, 0.064]</w:t>
            </w:r>
          </w:p>
        </w:tc>
        <w:tc>
          <w:tcPr>
            <w:tcW w:type="dxa" w:w="1008"/>
            <w:vAlign w:val="center"/>
          </w:tcPr>
          <w:p>
            <w:r>
              <w:rPr>
                <w:sz w:val="20"/>
              </w:rPr>
              <w:t>0.0367</w:t>
            </w:r>
          </w:p>
        </w:tc>
      </w:tr>
      <w:tr>
        <w:tc>
          <w:tcPr>
            <w:tcW w:type="dxa" w:w="2880"/>
            <w:vAlign w:val="center"/>
          </w:tcPr>
          <w:p>
            <w:r>
              <w:rPr>
                <w:sz w:val="20"/>
              </w:rPr>
              <w:t>LightGBM (calibrated)</w:t>
            </w:r>
          </w:p>
        </w:tc>
        <w:tc>
          <w:tcPr>
            <w:tcW w:type="dxa" w:w="1152"/>
            <w:vAlign w:val="center"/>
          </w:tcPr>
          <w:p>
            <w:r>
              <w:rPr>
                <w:sz w:val="20"/>
              </w:rPr>
              <w:t>0.6265</w:t>
            </w:r>
          </w:p>
        </w:tc>
        <w:tc>
          <w:tcPr>
            <w:tcW w:type="dxa" w:w="1872"/>
            <w:vAlign w:val="center"/>
          </w:tcPr>
          <w:p>
            <w:r>
              <w:rPr>
                <w:sz w:val="20"/>
              </w:rPr>
              <w:t>[0.596, 0.647]</w:t>
            </w:r>
          </w:p>
        </w:tc>
        <w:tc>
          <w:tcPr>
            <w:tcW w:type="dxa" w:w="1008"/>
            <w:vAlign w:val="center"/>
          </w:tcPr>
          <w:p>
            <w:r>
              <w:rPr>
                <w:sz w:val="20"/>
              </w:rPr>
              <w:t>0.2531</w:t>
            </w:r>
          </w:p>
        </w:tc>
        <w:tc>
          <w:tcPr>
            <w:tcW w:type="dxa" w:w="1008"/>
            <w:vAlign w:val="center"/>
          </w:tcPr>
          <w:p>
            <w:r>
              <w:rPr>
                <w:sz w:val="20"/>
              </w:rPr>
              <w:t>0.1882</w:t>
            </w:r>
          </w:p>
        </w:tc>
        <w:tc>
          <w:tcPr>
            <w:tcW w:type="dxa" w:w="1008"/>
            <w:vAlign w:val="center"/>
          </w:tcPr>
          <w:p>
            <w:r>
              <w:rPr>
                <w:sz w:val="20"/>
              </w:rPr>
              <w:t>0.0551</w:t>
            </w:r>
          </w:p>
        </w:tc>
        <w:tc>
          <w:tcPr>
            <w:tcW w:type="dxa" w:w="1872"/>
            <w:vAlign w:val="center"/>
          </w:tcPr>
          <w:p>
            <w:r>
              <w:rPr>
                <w:sz w:val="20"/>
              </w:rPr>
              <w:t>[0.048, 0.065]</w:t>
            </w:r>
          </w:p>
        </w:tc>
        <w:tc>
          <w:tcPr>
            <w:tcW w:type="dxa" w:w="1008"/>
            <w:vAlign w:val="center"/>
          </w:tcPr>
          <w:p>
            <w:r>
              <w:rPr>
                <w:sz w:val="20"/>
              </w:rPr>
              <w:t>0.0368</w:t>
            </w:r>
          </w:p>
        </w:tc>
      </w:tr>
      <w:tr>
        <w:tc>
          <w:tcPr>
            <w:tcW w:type="dxa" w:w="2880"/>
            <w:vAlign w:val="center"/>
          </w:tcPr>
          <w:p>
            <w:r>
              <w:rPr>
                <w:sz w:val="20"/>
              </w:rPr>
              <w:t>XGBoost (calibrated)</w:t>
            </w:r>
          </w:p>
        </w:tc>
        <w:tc>
          <w:tcPr>
            <w:tcW w:type="dxa" w:w="1152"/>
            <w:vAlign w:val="center"/>
          </w:tcPr>
          <w:p>
            <w:r>
              <w:rPr>
                <w:sz w:val="20"/>
              </w:rPr>
              <w:t>0.6418</w:t>
            </w:r>
          </w:p>
        </w:tc>
        <w:tc>
          <w:tcPr>
            <w:tcW w:type="dxa" w:w="1872"/>
            <w:vAlign w:val="center"/>
          </w:tcPr>
          <w:p>
            <w:r>
              <w:rPr>
                <w:sz w:val="20"/>
              </w:rPr>
              <w:t>[0.632, 0.648]</w:t>
            </w:r>
          </w:p>
        </w:tc>
        <w:tc>
          <w:tcPr>
            <w:tcW w:type="dxa" w:w="1008"/>
            <w:vAlign w:val="center"/>
          </w:tcPr>
          <w:p>
            <w:r>
              <w:rPr>
                <w:sz w:val="20"/>
              </w:rPr>
              <w:t>0.2836</w:t>
            </w:r>
          </w:p>
        </w:tc>
        <w:tc>
          <w:tcPr>
            <w:tcW w:type="dxa" w:w="1008"/>
            <w:vAlign w:val="center"/>
          </w:tcPr>
          <w:p>
            <w:r>
              <w:rPr>
                <w:sz w:val="20"/>
              </w:rPr>
              <w:t>0.2021</w:t>
            </w:r>
          </w:p>
        </w:tc>
        <w:tc>
          <w:tcPr>
            <w:tcW w:type="dxa" w:w="1008"/>
            <w:vAlign w:val="center"/>
          </w:tcPr>
          <w:p>
            <w:r>
              <w:rPr>
                <w:sz w:val="20"/>
              </w:rPr>
              <w:t>0.0580</w:t>
            </w:r>
          </w:p>
        </w:tc>
        <w:tc>
          <w:tcPr>
            <w:tcW w:type="dxa" w:w="1872"/>
            <w:vAlign w:val="center"/>
          </w:tcPr>
          <w:p>
            <w:r>
              <w:rPr>
                <w:sz w:val="20"/>
              </w:rPr>
              <w:t>[0.053, 0.065]</w:t>
            </w:r>
          </w:p>
        </w:tc>
        <w:tc>
          <w:tcPr>
            <w:tcW w:type="dxa" w:w="1008"/>
            <w:vAlign w:val="center"/>
          </w:tcPr>
          <w:p>
            <w:r>
              <w:rPr>
                <w:sz w:val="20"/>
              </w:rPr>
              <w:t>0.0367</w:t>
            </w:r>
          </w:p>
        </w:tc>
      </w:tr>
      <w:tr>
        <w:tc>
          <w:tcPr>
            <w:tcW w:type="dxa" w:w="2880"/>
            <w:vAlign w:val="center"/>
          </w:tcPr>
          <w:p>
            <w:r>
              <w:rPr>
                <w:sz w:val="20"/>
              </w:rPr>
              <w:t>CatBoost (calibrated)</w:t>
            </w:r>
          </w:p>
        </w:tc>
        <w:tc>
          <w:tcPr>
            <w:tcW w:type="dxa" w:w="1152"/>
            <w:vAlign w:val="center"/>
          </w:tcPr>
          <w:p>
            <w:r>
              <w:rPr>
                <w:sz w:val="20"/>
              </w:rPr>
              <w:t>0.6276</w:t>
            </w:r>
          </w:p>
        </w:tc>
        <w:tc>
          <w:tcPr>
            <w:tcW w:type="dxa" w:w="1872"/>
            <w:vAlign w:val="center"/>
          </w:tcPr>
          <w:p>
            <w:r>
              <w:rPr>
                <w:sz w:val="20"/>
              </w:rPr>
              <w:t>[0.623, 0.631]</w:t>
            </w:r>
          </w:p>
        </w:tc>
        <w:tc>
          <w:tcPr>
            <w:tcW w:type="dxa" w:w="1008"/>
            <w:vAlign w:val="center"/>
          </w:tcPr>
          <w:p>
            <w:r>
              <w:rPr>
                <w:sz w:val="20"/>
              </w:rPr>
              <w:t>0.2553</w:t>
            </w:r>
          </w:p>
        </w:tc>
        <w:tc>
          <w:tcPr>
            <w:tcW w:type="dxa" w:w="1008"/>
            <w:vAlign w:val="center"/>
          </w:tcPr>
          <w:p>
            <w:r>
              <w:rPr>
                <w:sz w:val="20"/>
              </w:rPr>
              <w:t>0.1993</w:t>
            </w:r>
          </w:p>
        </w:tc>
        <w:tc>
          <w:tcPr>
            <w:tcW w:type="dxa" w:w="1008"/>
            <w:vAlign w:val="center"/>
          </w:tcPr>
          <w:p>
            <w:r>
              <w:rPr>
                <w:sz w:val="20"/>
              </w:rPr>
              <w:t>0.0560</w:t>
            </w:r>
          </w:p>
        </w:tc>
        <w:tc>
          <w:tcPr>
            <w:tcW w:type="dxa" w:w="1872"/>
            <w:vAlign w:val="center"/>
          </w:tcPr>
          <w:p>
            <w:r>
              <w:rPr>
                <w:sz w:val="20"/>
              </w:rPr>
              <w:t>[0.050, 0.061]</w:t>
            </w:r>
          </w:p>
        </w:tc>
        <w:tc>
          <w:tcPr>
            <w:tcW w:type="dxa" w:w="1008"/>
            <w:vAlign w:val="center"/>
          </w:tcPr>
          <w:p>
            <w:r>
              <w:rPr>
                <w:sz w:val="20"/>
              </w:rPr>
              <w:t>0.0367</w:t>
            </w:r>
          </w:p>
        </w:tc>
      </w:tr>
      <w:tr>
        <w:tc>
          <w:tcPr>
            <w:tcW w:type="dxa" w:w="2880"/>
            <w:vAlign w:val="center"/>
          </w:tcPr>
          <w:p>
            <w:r>
              <w:rPr>
                <w:sz w:val="20"/>
              </w:rPr>
              <w:t>risk_score_rf (benchmark)</w:t>
            </w:r>
          </w:p>
        </w:tc>
        <w:tc>
          <w:tcPr>
            <w:tcW w:type="dxa" w:w="1152"/>
            <w:vAlign w:val="center"/>
          </w:tcPr>
          <w:p>
            <w:r>
              <w:rPr>
                <w:sz w:val="20"/>
              </w:rPr>
              <w:t>0.6703</w:t>
            </w:r>
          </w:p>
        </w:tc>
        <w:tc>
          <w:tcPr>
            <w:tcW w:type="dxa" w:w="1872"/>
            <w:vAlign w:val="center"/>
          </w:tcPr>
          <w:p>
            <w:r>
              <w:rPr>
                <w:sz w:val="20"/>
              </w:rPr>
              <w:t>[0.640, 0.690]</w:t>
            </w:r>
          </w:p>
        </w:tc>
        <w:tc>
          <w:tcPr>
            <w:tcW w:type="dxa" w:w="1008"/>
            <w:vAlign w:val="center"/>
          </w:tcPr>
          <w:p>
            <w:r>
              <w:rPr>
                <w:sz w:val="20"/>
              </w:rPr>
              <w:t>0.3406</w:t>
            </w:r>
          </w:p>
        </w:tc>
        <w:tc>
          <w:tcPr>
            <w:tcW w:type="dxa" w:w="1008"/>
            <w:vAlign w:val="center"/>
          </w:tcPr>
          <w:p>
            <w:r>
              <w:rPr>
                <w:sz w:val="20"/>
              </w:rPr>
              <w:t>0.2703</w:t>
            </w:r>
          </w:p>
        </w:tc>
        <w:tc>
          <w:tcPr>
            <w:tcW w:type="dxa" w:w="1008"/>
            <w:vAlign w:val="center"/>
          </w:tcPr>
          <w:p>
            <w:r>
              <w:rPr>
                <w:sz w:val="20"/>
              </w:rPr>
              <w:t>0.0904</w:t>
            </w:r>
          </w:p>
        </w:tc>
        <w:tc>
          <w:tcPr>
            <w:tcW w:type="dxa" w:w="1872"/>
            <w:vAlign w:val="center"/>
          </w:tcPr>
          <w:p>
            <w:r>
              <w:rPr>
                <w:sz w:val="20"/>
              </w:rPr>
              <w:t>[0.089, 0.094]</w:t>
            </w:r>
          </w:p>
        </w:tc>
        <w:tc>
          <w:tcPr>
            <w:tcW w:type="dxa" w:w="1008"/>
            <w:vAlign w:val="center"/>
          </w:tcPr>
          <w:p>
            <w:r>
              <w:rPr>
                <w:sz w:val="20"/>
              </w:rPr>
              <w:t>n/a</w:t>
            </w:r>
          </w:p>
        </w:tc>
      </w:tr>
      <w:tr>
        <w:tc>
          <w:tcPr>
            <w:tcW w:type="dxa" w:w="2880"/>
            <w:vAlign w:val="center"/>
          </w:tcPr>
          <w:p>
            <w:r>
              <w:rPr>
                <w:sz w:val="20"/>
              </w:rPr>
              <w:t>score_RF (benchmark)</w:t>
            </w:r>
          </w:p>
        </w:tc>
        <w:tc>
          <w:tcPr>
            <w:tcW w:type="dxa" w:w="1152"/>
            <w:vAlign w:val="center"/>
          </w:tcPr>
          <w:p>
            <w:r>
              <w:rPr>
                <w:sz w:val="20"/>
              </w:rPr>
              <w:t>0.6176</w:t>
            </w:r>
          </w:p>
        </w:tc>
        <w:tc>
          <w:tcPr>
            <w:tcW w:type="dxa" w:w="1872"/>
            <w:vAlign w:val="center"/>
          </w:tcPr>
          <w:p>
            <w:r>
              <w:rPr>
                <w:sz w:val="20"/>
              </w:rPr>
              <w:t>[0.572, 0.643]</w:t>
            </w:r>
          </w:p>
        </w:tc>
        <w:tc>
          <w:tcPr>
            <w:tcW w:type="dxa" w:w="1008"/>
            <w:vAlign w:val="center"/>
          </w:tcPr>
          <w:p>
            <w:r>
              <w:rPr>
                <w:sz w:val="20"/>
              </w:rPr>
              <w:t>0.2352</w:t>
            </w:r>
          </w:p>
        </w:tc>
        <w:tc>
          <w:tcPr>
            <w:tcW w:type="dxa" w:w="1008"/>
            <w:vAlign w:val="center"/>
          </w:tcPr>
          <w:p>
            <w:r>
              <w:rPr>
                <w:sz w:val="20"/>
              </w:rPr>
              <w:t>0.1958</w:t>
            </w:r>
          </w:p>
        </w:tc>
        <w:tc>
          <w:tcPr>
            <w:tcW w:type="dxa" w:w="1008"/>
            <w:vAlign w:val="center"/>
          </w:tcPr>
          <w:p>
            <w:r>
              <w:rPr>
                <w:sz w:val="20"/>
              </w:rPr>
              <w:t>0.0503</w:t>
            </w:r>
          </w:p>
        </w:tc>
        <w:tc>
          <w:tcPr>
            <w:tcW w:type="dxa" w:w="1872"/>
            <w:vAlign w:val="center"/>
          </w:tcPr>
          <w:p>
            <w:r>
              <w:rPr>
                <w:sz w:val="20"/>
              </w:rPr>
              <w:t>[0.040, 0.058]</w:t>
            </w:r>
          </w:p>
        </w:tc>
        <w:tc>
          <w:tcPr>
            <w:tcW w:type="dxa" w:w="1008"/>
            <w:vAlign w:val="center"/>
          </w:tcPr>
          <w:p>
            <w:r>
              <w:rPr>
                <w:sz w:val="20"/>
              </w:rPr>
              <w:t>n/a</w:t>
            </w:r>
          </w:p>
        </w:tc>
      </w:tr>
    </w:tbl>
    <w:p>
      <w:pPr>
        <w:jc w:val="center"/>
      </w:pPr>
      <w:r>
        <w:drawing>
          <wp:inline xmlns:a="http://schemas.openxmlformats.org/drawingml/2006/main" xmlns:pic="http://schemas.openxmlformats.org/drawingml/2006/picture">
            <wp:extent cx="5943600" cy="2372127"/>
            <wp:docPr id="2" name="Picture 2"/>
            <wp:cNvGraphicFramePr>
              <a:graphicFrameLocks noChangeAspect="1"/>
            </wp:cNvGraphicFramePr>
            <a:graphic>
              <a:graphicData uri="http://schemas.openxmlformats.org/drawingml/2006/picture">
                <pic:pic>
                  <pic:nvPicPr>
                    <pic:cNvPr id="0" name="stakeholder_roc_pr_curves.png"/>
                    <pic:cNvPicPr/>
                  </pic:nvPicPr>
                  <pic:blipFill>
                    <a:blip r:embed="rId10"/>
                    <a:stretch>
                      <a:fillRect/>
                    </a:stretch>
                  </pic:blipFill>
                  <pic:spPr>
                    <a:xfrm>
                      <a:off x="0" y="0"/>
                      <a:ext cx="5943600" cy="2372127"/>
                    </a:xfrm>
                    <a:prstGeom prst="rect"/>
                  </pic:spPr>
                </pic:pic>
              </a:graphicData>
            </a:graphic>
          </wp:inline>
        </w:drawing>
      </w:r>
    </w:p>
    <w:p>
      <w:pPr>
        <w:jc w:val="center"/>
      </w:pPr>
      <w:r>
        <w:rPr>
          <w:i/>
          <w:sz w:val="18"/>
        </w:rPr>
        <w:t>Figure: ROC and Precision-Recall curves on the held-out test sample</w:t>
      </w:r>
    </w:p>
    <w:p>
      <w:r>
        <w:br w:type="page"/>
      </w:r>
    </w:p>
    <w:p>
      <w:pPr>
        <w:pStyle w:val="Heading1"/>
      </w:pPr>
      <w:r>
        <w:rPr>
          <w:color w:val="1F3A68"/>
        </w:rPr>
        <w:t>12.  Results — Calibration and Stability</w:t>
      </w:r>
    </w:p>
    <w:p>
      <w:r>
        <w:rPr>
          <w:b/>
          <w:i w:val="0"/>
          <w:sz w:val="24"/>
        </w:rPr>
        <w:t>Calibration quality</w:t>
      </w:r>
    </w:p>
    <w:p>
      <w:r>
        <w:rPr>
          <w:b w:val="0"/>
          <w:i w:val="0"/>
          <w:sz w:val="22"/>
        </w:rPr>
        <w:t>Brier score and reliability curves are reported on the test set. Lower Brier is better. The calibrated variant of each model is the one that would be deployed; raw Brier values are included to show the calibration gain.</w:t>
      </w:r>
    </w:p>
    <w:p>
      <w:pPr>
        <w:jc w:val="center"/>
      </w:pPr>
      <w:r>
        <w:drawing>
          <wp:inline xmlns:a="http://schemas.openxmlformats.org/drawingml/2006/main" xmlns:pic="http://schemas.openxmlformats.org/drawingml/2006/picture">
            <wp:extent cx="5943600" cy="8196838"/>
            <wp:docPr id="3" name="Picture 3"/>
            <wp:cNvGraphicFramePr>
              <a:graphicFrameLocks noChangeAspect="1"/>
            </wp:cNvGraphicFramePr>
            <a:graphic>
              <a:graphicData uri="http://schemas.openxmlformats.org/drawingml/2006/picture">
                <pic:pic>
                  <pic:nvPicPr>
                    <pic:cNvPr id="0" name="stakeholder_reliability.png"/>
                    <pic:cNvPicPr/>
                  </pic:nvPicPr>
                  <pic:blipFill>
                    <a:blip r:embed="rId11"/>
                    <a:stretch>
                      <a:fillRect/>
                    </a:stretch>
                  </pic:blipFill>
                  <pic:spPr>
                    <a:xfrm>
                      <a:off x="0" y="0"/>
                      <a:ext cx="5943600" cy="8196838"/>
                    </a:xfrm>
                    <a:prstGeom prst="rect"/>
                  </pic:spPr>
                </pic:pic>
              </a:graphicData>
            </a:graphic>
          </wp:inline>
        </w:drawing>
      </w:r>
    </w:p>
    <w:p>
      <w:pPr>
        <w:jc w:val="center"/>
      </w:pPr>
      <w:r>
        <w:rPr>
          <w:i/>
          <w:sz w:val="18"/>
        </w:rPr>
        <w:t>Figure: Reliability diagram — calibrated probabilities vs observed default rate</w:t>
      </w:r>
    </w:p>
    <w:p>
      <w:r>
        <w:rPr>
          <w:b/>
          <w:i w:val="0"/>
          <w:sz w:val="24"/>
        </w:rPr>
        <w:t>Rolling out-of-time performance</w:t>
      </w:r>
    </w:p>
    <w:p>
      <w:r>
        <w:rPr>
          <w:b w:val="0"/>
          <w:i w:val="0"/>
          <w:sz w:val="22"/>
        </w:rPr>
        <w:t>Per-fold PR AUC across the rolling-OOT validation windows. Stability is measured by mean PR AUC; concept drift by first-vs-last delta and per-fold slope.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40"/>
        <w:gridCol w:w="1440"/>
        <w:gridCol w:w="1440"/>
        <w:gridCol w:w="1440"/>
        <w:gridCol w:w="1440"/>
        <w:gridCol w:w="1440"/>
      </w:tblGrid>
      <w:tr>
        <w:tc>
          <w:tcPr>
            <w:tcW w:type="dxa" w:w="3456"/>
            <w:shd w:val="clear" w:color="auto" w:fill="1F3A68"/>
          </w:tcPr>
          <w:p>
            <w:r>
              <w:rPr>
                <w:b/>
                <w:color w:val="FFFFFF"/>
                <w:sz w:val="20"/>
              </w:rPr>
              <w:t>Model</w:t>
            </w:r>
          </w:p>
        </w:tc>
        <w:tc>
          <w:tcPr>
            <w:tcW w:type="dxa" w:w="864"/>
            <w:shd w:val="clear" w:color="auto" w:fill="1F3A68"/>
          </w:tcPr>
          <w:p>
            <w:r>
              <w:rPr>
                <w:b/>
                <w:color w:val="FFFFFF"/>
                <w:sz w:val="20"/>
              </w:rPr>
              <w:t>Folds</w:t>
            </w:r>
          </w:p>
        </w:tc>
        <w:tc>
          <w:tcPr>
            <w:tcW w:type="dxa" w:w="1440"/>
            <w:shd w:val="clear" w:color="auto" w:fill="1F3A68"/>
          </w:tcPr>
          <w:p>
            <w:r>
              <w:rPr>
                <w:b/>
                <w:color w:val="FFFFFF"/>
                <w:sz w:val="20"/>
              </w:rPr>
              <w:t>Mean PR AUC</w:t>
            </w:r>
          </w:p>
        </w:tc>
        <w:tc>
          <w:tcPr>
            <w:tcW w:type="dxa" w:w="1296"/>
            <w:shd w:val="clear" w:color="auto" w:fill="1F3A68"/>
          </w:tcPr>
          <w:p>
            <w:r>
              <w:rPr>
                <w:b/>
                <w:color w:val="FFFFFF"/>
                <w:sz w:val="20"/>
              </w:rPr>
              <w:t>Std PR AUC</w:t>
            </w:r>
          </w:p>
        </w:tc>
        <w:tc>
          <w:tcPr>
            <w:tcW w:type="dxa" w:w="1440"/>
            <w:shd w:val="clear" w:color="auto" w:fill="1F3A68"/>
          </w:tcPr>
          <w:p>
            <w:r>
              <w:rPr>
                <w:b/>
                <w:color w:val="FFFFFF"/>
                <w:sz w:val="20"/>
              </w:rPr>
              <w:t>Mean ROC AUC</w:t>
            </w:r>
          </w:p>
        </w:tc>
        <w:tc>
          <w:tcPr>
            <w:tcW w:type="dxa" w:w="1296"/>
            <w:shd w:val="clear" w:color="auto" w:fill="1F3A68"/>
          </w:tcPr>
          <w:p>
            <w:r>
              <w:rPr>
                <w:b/>
                <w:color w:val="FFFFFF"/>
                <w:sz w:val="20"/>
              </w:rPr>
              <w:t>Std ROC AUC</w:t>
            </w:r>
          </w:p>
        </w:tc>
      </w:tr>
      <w:tr>
        <w:tc>
          <w:tcPr>
            <w:tcW w:type="dxa" w:w="3456"/>
            <w:vAlign w:val="center"/>
          </w:tcPr>
          <w:p>
            <w:r>
              <w:rPr>
                <w:sz w:val="20"/>
              </w:rPr>
              <w:t>Logistic Regression (calibrated)</w:t>
            </w:r>
          </w:p>
        </w:tc>
        <w:tc>
          <w:tcPr>
            <w:tcW w:type="dxa" w:w="864"/>
            <w:vAlign w:val="center"/>
          </w:tcPr>
          <w:p>
            <w:r>
              <w:rPr>
                <w:sz w:val="20"/>
              </w:rPr>
              <w:t>4</w:t>
            </w:r>
          </w:p>
        </w:tc>
        <w:tc>
          <w:tcPr>
            <w:tcW w:type="dxa" w:w="1440"/>
            <w:vAlign w:val="center"/>
          </w:tcPr>
          <w:p>
            <w:r>
              <w:rPr>
                <w:sz w:val="20"/>
              </w:rPr>
              <w:t>0.0609</w:t>
            </w:r>
          </w:p>
        </w:tc>
        <w:tc>
          <w:tcPr>
            <w:tcW w:type="dxa" w:w="1296"/>
            <w:vAlign w:val="center"/>
          </w:tcPr>
          <w:p>
            <w:r>
              <w:rPr>
                <w:sz w:val="20"/>
              </w:rPr>
              <w:t>0.0077</w:t>
            </w:r>
          </w:p>
        </w:tc>
        <w:tc>
          <w:tcPr>
            <w:tcW w:type="dxa" w:w="1440"/>
            <w:vAlign w:val="center"/>
          </w:tcPr>
          <w:p>
            <w:r>
              <w:rPr>
                <w:sz w:val="20"/>
              </w:rPr>
              <w:t>0.6393</w:t>
            </w:r>
          </w:p>
        </w:tc>
        <w:tc>
          <w:tcPr>
            <w:tcW w:type="dxa" w:w="1296"/>
            <w:vAlign w:val="center"/>
          </w:tcPr>
          <w:p>
            <w:r>
              <w:rPr>
                <w:sz w:val="20"/>
              </w:rPr>
              <w:t>0.0244</w:t>
            </w:r>
          </w:p>
        </w:tc>
      </w:tr>
      <w:tr>
        <w:tc>
          <w:tcPr>
            <w:tcW w:type="dxa" w:w="3456"/>
            <w:vAlign w:val="center"/>
          </w:tcPr>
          <w:p>
            <w:r>
              <w:rPr>
                <w:sz w:val="20"/>
              </w:rPr>
              <w:t>EBM (calibrated)</w:t>
            </w:r>
          </w:p>
        </w:tc>
        <w:tc>
          <w:tcPr>
            <w:tcW w:type="dxa" w:w="864"/>
            <w:vAlign w:val="center"/>
          </w:tcPr>
          <w:p>
            <w:r>
              <w:rPr>
                <w:sz w:val="20"/>
              </w:rPr>
              <w:t>4</w:t>
            </w:r>
          </w:p>
        </w:tc>
        <w:tc>
          <w:tcPr>
            <w:tcW w:type="dxa" w:w="1440"/>
            <w:vAlign w:val="center"/>
          </w:tcPr>
          <w:p>
            <w:r>
              <w:rPr>
                <w:sz w:val="20"/>
              </w:rPr>
              <w:t>0.0641</w:t>
            </w:r>
          </w:p>
        </w:tc>
        <w:tc>
          <w:tcPr>
            <w:tcW w:type="dxa" w:w="1296"/>
            <w:vAlign w:val="center"/>
          </w:tcPr>
          <w:p>
            <w:r>
              <w:rPr>
                <w:sz w:val="20"/>
              </w:rPr>
              <w:t>0.0103</w:t>
            </w:r>
          </w:p>
        </w:tc>
        <w:tc>
          <w:tcPr>
            <w:tcW w:type="dxa" w:w="1440"/>
            <w:vAlign w:val="center"/>
          </w:tcPr>
          <w:p>
            <w:r>
              <w:rPr>
                <w:sz w:val="20"/>
              </w:rPr>
              <w:t>0.6487</w:t>
            </w:r>
          </w:p>
        </w:tc>
        <w:tc>
          <w:tcPr>
            <w:tcW w:type="dxa" w:w="1296"/>
            <w:vAlign w:val="center"/>
          </w:tcPr>
          <w:p>
            <w:r>
              <w:rPr>
                <w:sz w:val="20"/>
              </w:rPr>
              <w:t>0.0275</w:t>
            </w:r>
          </w:p>
        </w:tc>
      </w:tr>
      <w:tr>
        <w:tc>
          <w:tcPr>
            <w:tcW w:type="dxa" w:w="3456"/>
            <w:vAlign w:val="center"/>
          </w:tcPr>
          <w:p>
            <w:r>
              <w:rPr>
                <w:sz w:val="20"/>
              </w:rPr>
              <w:t>LightGBM (calibrated)</w:t>
            </w:r>
          </w:p>
        </w:tc>
        <w:tc>
          <w:tcPr>
            <w:tcW w:type="dxa" w:w="864"/>
            <w:vAlign w:val="center"/>
          </w:tcPr>
          <w:p>
            <w:r>
              <w:rPr>
                <w:sz w:val="20"/>
              </w:rPr>
              <w:t>4</w:t>
            </w:r>
          </w:p>
        </w:tc>
        <w:tc>
          <w:tcPr>
            <w:tcW w:type="dxa" w:w="1440"/>
            <w:vAlign w:val="center"/>
          </w:tcPr>
          <w:p>
            <w:r>
              <w:rPr>
                <w:sz w:val="20"/>
              </w:rPr>
              <w:t>0.0529</w:t>
            </w:r>
          </w:p>
        </w:tc>
        <w:tc>
          <w:tcPr>
            <w:tcW w:type="dxa" w:w="1296"/>
            <w:vAlign w:val="center"/>
          </w:tcPr>
          <w:p>
            <w:r>
              <w:rPr>
                <w:sz w:val="20"/>
              </w:rPr>
              <w:t>0.0071</w:t>
            </w:r>
          </w:p>
        </w:tc>
        <w:tc>
          <w:tcPr>
            <w:tcW w:type="dxa" w:w="1440"/>
            <w:vAlign w:val="center"/>
          </w:tcPr>
          <w:p>
            <w:r>
              <w:rPr>
                <w:sz w:val="20"/>
              </w:rPr>
              <w:t>0.6185</w:t>
            </w:r>
          </w:p>
        </w:tc>
        <w:tc>
          <w:tcPr>
            <w:tcW w:type="dxa" w:w="1296"/>
            <w:vAlign w:val="center"/>
          </w:tcPr>
          <w:p>
            <w:r>
              <w:rPr>
                <w:sz w:val="20"/>
              </w:rPr>
              <w:t>0.0361</w:t>
            </w:r>
          </w:p>
        </w:tc>
      </w:tr>
      <w:tr>
        <w:tc>
          <w:tcPr>
            <w:tcW w:type="dxa" w:w="3456"/>
            <w:vAlign w:val="center"/>
          </w:tcPr>
          <w:p>
            <w:r>
              <w:rPr>
                <w:sz w:val="20"/>
              </w:rPr>
              <w:t>XGBoost (calibrated)</w:t>
            </w:r>
          </w:p>
        </w:tc>
        <w:tc>
          <w:tcPr>
            <w:tcW w:type="dxa" w:w="864"/>
            <w:vAlign w:val="center"/>
          </w:tcPr>
          <w:p>
            <w:r>
              <w:rPr>
                <w:sz w:val="20"/>
              </w:rPr>
              <w:t>4</w:t>
            </w:r>
          </w:p>
        </w:tc>
        <w:tc>
          <w:tcPr>
            <w:tcW w:type="dxa" w:w="1440"/>
            <w:vAlign w:val="center"/>
          </w:tcPr>
          <w:p>
            <w:r>
              <w:rPr>
                <w:sz w:val="20"/>
              </w:rPr>
              <w:t>0.0519</w:t>
            </w:r>
          </w:p>
        </w:tc>
        <w:tc>
          <w:tcPr>
            <w:tcW w:type="dxa" w:w="1296"/>
            <w:vAlign w:val="center"/>
          </w:tcPr>
          <w:p>
            <w:r>
              <w:rPr>
                <w:sz w:val="20"/>
              </w:rPr>
              <w:t>0.0059</w:t>
            </w:r>
          </w:p>
        </w:tc>
        <w:tc>
          <w:tcPr>
            <w:tcW w:type="dxa" w:w="1440"/>
            <w:vAlign w:val="center"/>
          </w:tcPr>
          <w:p>
            <w:r>
              <w:rPr>
                <w:sz w:val="20"/>
              </w:rPr>
              <w:t>0.6151</w:t>
            </w:r>
          </w:p>
        </w:tc>
        <w:tc>
          <w:tcPr>
            <w:tcW w:type="dxa" w:w="1296"/>
            <w:vAlign w:val="center"/>
          </w:tcPr>
          <w:p>
            <w:r>
              <w:rPr>
                <w:sz w:val="20"/>
              </w:rPr>
              <w:t>0.0291</w:t>
            </w:r>
          </w:p>
        </w:tc>
      </w:tr>
      <w:tr>
        <w:tc>
          <w:tcPr>
            <w:tcW w:type="dxa" w:w="3456"/>
            <w:vAlign w:val="center"/>
          </w:tcPr>
          <w:p>
            <w:r>
              <w:rPr>
                <w:sz w:val="20"/>
              </w:rPr>
              <w:t>CatBoost (calibrated)</w:t>
            </w:r>
          </w:p>
        </w:tc>
        <w:tc>
          <w:tcPr>
            <w:tcW w:type="dxa" w:w="864"/>
            <w:vAlign w:val="center"/>
          </w:tcPr>
          <w:p>
            <w:r>
              <w:rPr>
                <w:sz w:val="20"/>
              </w:rPr>
              <w:t>4</w:t>
            </w:r>
          </w:p>
        </w:tc>
        <w:tc>
          <w:tcPr>
            <w:tcW w:type="dxa" w:w="1440"/>
            <w:vAlign w:val="center"/>
          </w:tcPr>
          <w:p>
            <w:r>
              <w:rPr>
                <w:sz w:val="20"/>
              </w:rPr>
              <w:t>0.0471</w:t>
            </w:r>
          </w:p>
        </w:tc>
        <w:tc>
          <w:tcPr>
            <w:tcW w:type="dxa" w:w="1296"/>
            <w:vAlign w:val="center"/>
          </w:tcPr>
          <w:p>
            <w:r>
              <w:rPr>
                <w:sz w:val="20"/>
              </w:rPr>
              <w:t>0.0017</w:t>
            </w:r>
          </w:p>
        </w:tc>
        <w:tc>
          <w:tcPr>
            <w:tcW w:type="dxa" w:w="1440"/>
            <w:vAlign w:val="center"/>
          </w:tcPr>
          <w:p>
            <w:r>
              <w:rPr>
                <w:sz w:val="20"/>
              </w:rPr>
              <w:t>0.5863</w:t>
            </w:r>
          </w:p>
        </w:tc>
        <w:tc>
          <w:tcPr>
            <w:tcW w:type="dxa" w:w="1296"/>
            <w:vAlign w:val="center"/>
          </w:tcPr>
          <w:p>
            <w:r>
              <w:rPr>
                <w:sz w:val="20"/>
              </w:rPr>
              <w:t>0.0212</w:t>
            </w:r>
          </w:p>
        </w:tc>
      </w:tr>
      <w:tr>
        <w:tc>
          <w:tcPr>
            <w:tcW w:type="dxa" w:w="3456"/>
            <w:vAlign w:val="center"/>
          </w:tcPr>
          <w:p>
            <w:r>
              <w:rPr>
                <w:sz w:val="20"/>
              </w:rPr>
              <w:t>risk_score_rf (benchmark)</w:t>
            </w:r>
          </w:p>
        </w:tc>
        <w:tc>
          <w:tcPr>
            <w:tcW w:type="dxa" w:w="864"/>
            <w:vAlign w:val="center"/>
          </w:tcPr>
          <w:p>
            <w:r>
              <w:rPr>
                <w:sz w:val="20"/>
              </w:rPr>
              <w:t>4</w:t>
            </w:r>
          </w:p>
        </w:tc>
        <w:tc>
          <w:tcPr>
            <w:tcW w:type="dxa" w:w="1440"/>
            <w:vAlign w:val="center"/>
          </w:tcPr>
          <w:p>
            <w:r>
              <w:rPr>
                <w:sz w:val="20"/>
              </w:rPr>
              <w:t>0.0841</w:t>
            </w:r>
          </w:p>
        </w:tc>
        <w:tc>
          <w:tcPr>
            <w:tcW w:type="dxa" w:w="1296"/>
            <w:vAlign w:val="center"/>
          </w:tcPr>
          <w:p>
            <w:r>
              <w:rPr>
                <w:sz w:val="20"/>
              </w:rPr>
              <w:t>0.0093</w:t>
            </w:r>
          </w:p>
        </w:tc>
        <w:tc>
          <w:tcPr>
            <w:tcW w:type="dxa" w:w="1440"/>
            <w:vAlign w:val="center"/>
          </w:tcPr>
          <w:p>
            <w:r>
              <w:rPr>
                <w:sz w:val="20"/>
              </w:rPr>
              <w:t>0.6587</w:t>
            </w:r>
          </w:p>
        </w:tc>
        <w:tc>
          <w:tcPr>
            <w:tcW w:type="dxa" w:w="1296"/>
            <w:vAlign w:val="center"/>
          </w:tcPr>
          <w:p>
            <w:r>
              <w:rPr>
                <w:sz w:val="20"/>
              </w:rPr>
              <w:t>0.0109</w:t>
            </w:r>
          </w:p>
        </w:tc>
      </w:tr>
      <w:tr>
        <w:tc>
          <w:tcPr>
            <w:tcW w:type="dxa" w:w="3456"/>
            <w:vAlign w:val="center"/>
          </w:tcPr>
          <w:p>
            <w:r>
              <w:rPr>
                <w:sz w:val="20"/>
              </w:rPr>
              <w:t>score_RF (benchmark)</w:t>
            </w:r>
          </w:p>
        </w:tc>
        <w:tc>
          <w:tcPr>
            <w:tcW w:type="dxa" w:w="864"/>
            <w:vAlign w:val="center"/>
          </w:tcPr>
          <w:p>
            <w:r>
              <w:rPr>
                <w:sz w:val="20"/>
              </w:rPr>
              <w:t>4</w:t>
            </w:r>
          </w:p>
        </w:tc>
        <w:tc>
          <w:tcPr>
            <w:tcW w:type="dxa" w:w="1440"/>
            <w:vAlign w:val="center"/>
          </w:tcPr>
          <w:p>
            <w:r>
              <w:rPr>
                <w:sz w:val="20"/>
              </w:rPr>
              <w:t>0.0544</w:t>
            </w:r>
          </w:p>
        </w:tc>
        <w:tc>
          <w:tcPr>
            <w:tcW w:type="dxa" w:w="1296"/>
            <w:vAlign w:val="center"/>
          </w:tcPr>
          <w:p>
            <w:r>
              <w:rPr>
                <w:sz w:val="20"/>
              </w:rPr>
              <w:t>0.0051</w:t>
            </w:r>
          </w:p>
        </w:tc>
        <w:tc>
          <w:tcPr>
            <w:tcW w:type="dxa" w:w="1440"/>
            <w:vAlign w:val="center"/>
          </w:tcPr>
          <w:p>
            <w:r>
              <w:rPr>
                <w:sz w:val="20"/>
              </w:rPr>
              <w:t>0.6264</w:t>
            </w:r>
          </w:p>
        </w:tc>
        <w:tc>
          <w:tcPr>
            <w:tcW w:type="dxa" w:w="1296"/>
            <w:vAlign w:val="center"/>
          </w:tcPr>
          <w:p>
            <w:r>
              <w:rPr>
                <w:sz w:val="20"/>
              </w:rPr>
              <w:t>0.0165</w:t>
            </w:r>
          </w:p>
        </w:tc>
      </w:tr>
    </w:tbl>
    <w:p>
      <w:pPr>
        <w:jc w:val="center"/>
      </w:pPr>
      <w:r>
        <w:drawing>
          <wp:inline xmlns:a="http://schemas.openxmlformats.org/drawingml/2006/main" xmlns:pic="http://schemas.openxmlformats.org/drawingml/2006/picture">
            <wp:extent cx="5943600" cy="2587774"/>
            <wp:docPr id="4" name="Picture 4"/>
            <wp:cNvGraphicFramePr>
              <a:graphicFrameLocks noChangeAspect="1"/>
            </wp:cNvGraphicFramePr>
            <a:graphic>
              <a:graphicData uri="http://schemas.openxmlformats.org/drawingml/2006/picture">
                <pic:pic>
                  <pic:nvPicPr>
                    <pic:cNvPr id="0" name="stakeholder_rolling_oot.png"/>
                    <pic:cNvPicPr/>
                  </pic:nvPicPr>
                  <pic:blipFill>
                    <a:blip r:embed="rId12"/>
                    <a:stretch>
                      <a:fillRect/>
                    </a:stretch>
                  </pic:blipFill>
                  <pic:spPr>
                    <a:xfrm>
                      <a:off x="0" y="0"/>
                      <a:ext cx="5943600" cy="2587774"/>
                    </a:xfrm>
                    <a:prstGeom prst="rect"/>
                  </pic:spPr>
                </pic:pic>
              </a:graphicData>
            </a:graphic>
          </wp:inline>
        </w:drawing>
      </w:r>
    </w:p>
    <w:p>
      <w:pPr>
        <w:jc w:val="center"/>
      </w:pPr>
      <w:r>
        <w:rPr>
          <w:i/>
          <w:sz w:val="18"/>
        </w:rPr>
        <w:t>Figure: Rolling out-of-time PR AUC trajectory by model</w:t>
      </w:r>
    </w:p>
    <w:p>
      <w:r>
        <w:br w:type="page"/>
      </w:r>
    </w:p>
    <w:p>
      <w:pPr>
        <w:pStyle w:val="Heading1"/>
      </w:pPr>
      <w:r>
        <w:rPr>
          <w:color w:val="1F3A68"/>
        </w:rPr>
        <w:t>13.  Results — Comparison Against Existing Benchmarks</w:t>
      </w:r>
    </w:p>
    <w:p>
      <w:r>
        <w:rPr>
          <w:b/>
          <w:i w:val="0"/>
          <w:sz w:val="24"/>
        </w:rPr>
        <w:t>Headline benchmark contrast</w:t>
      </w:r>
    </w:p>
    <w:p>
      <w:r>
        <w:rPr>
          <w:b w:val="0"/>
          <w:i w:val="0"/>
          <w:sz w:val="22"/>
        </w:rPr>
        <w:t>The pipeline compares each candidate against the two existing scoring systems already in use on this portfolio: risk_score_rf and score_RF. Comparisons are paired bootstrap on the same test sample (1,000 resamples) with Holm–Bonferroni adjustment across the two reference scores. The candidate's confidence interval lower bound on AUC improvement (conservative_auc_lift) is the regulator-defensible summary statistic — a positive lower bound means the model out-performs the benchmark with 95% confidence.</w:t>
      </w:r>
    </w:p>
    <w:p>
      <w:r>
        <w:rPr>
          <w:b/>
          <w:i w:val="0"/>
          <w:sz w:val="22"/>
        </w:rPr>
        <w:t>Recommended candidate (Logistic Regression) versus each benchmark</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080"/>
        <w:gridCol w:w="1080"/>
        <w:gridCol w:w="1080"/>
        <w:gridCol w:w="1080"/>
        <w:gridCol w:w="1080"/>
        <w:gridCol w:w="1080"/>
        <w:gridCol w:w="1080"/>
        <w:gridCol w:w="1080"/>
      </w:tblGrid>
      <w:tr>
        <w:tc>
          <w:tcPr>
            <w:tcW w:type="dxa" w:w="2880"/>
            <w:shd w:val="clear" w:color="auto" w:fill="1F3A68"/>
          </w:tcPr>
          <w:p>
            <w:r>
              <w:rPr>
                <w:b/>
                <w:color w:val="FFFFFF"/>
                <w:sz w:val="20"/>
              </w:rPr>
              <w:t>Reference</w:t>
            </w:r>
          </w:p>
        </w:tc>
        <w:tc>
          <w:tcPr>
            <w:tcW w:type="dxa" w:w="1152"/>
            <w:shd w:val="clear" w:color="auto" w:fill="1F3A68"/>
          </w:tcPr>
          <w:p>
            <w:r>
              <w:rPr>
                <w:b/>
                <w:color w:val="FFFFFF"/>
                <w:sz w:val="20"/>
              </w:rPr>
              <w:t>Cand AUC</w:t>
            </w:r>
          </w:p>
        </w:tc>
        <w:tc>
          <w:tcPr>
            <w:tcW w:type="dxa" w:w="1152"/>
            <w:shd w:val="clear" w:color="auto" w:fill="1F3A68"/>
          </w:tcPr>
          <w:p>
            <w:r>
              <w:rPr>
                <w:b/>
                <w:color w:val="FFFFFF"/>
                <w:sz w:val="20"/>
              </w:rPr>
              <w:t>Ref AUC</w:t>
            </w:r>
          </w:p>
        </w:tc>
        <w:tc>
          <w:tcPr>
            <w:tcW w:type="dxa" w:w="1008"/>
            <w:shd w:val="clear" w:color="auto" w:fill="1F3A68"/>
          </w:tcPr>
          <w:p>
            <w:r>
              <w:rPr>
                <w:b/>
                <w:color w:val="FFFFFF"/>
                <w:sz w:val="20"/>
              </w:rPr>
              <w:t>ΔAUC</w:t>
            </w:r>
          </w:p>
        </w:tc>
        <w:tc>
          <w:tcPr>
            <w:tcW w:type="dxa" w:w="2304"/>
            <w:shd w:val="clear" w:color="auto" w:fill="1F3A68"/>
          </w:tcPr>
          <w:p>
            <w:r>
              <w:rPr>
                <w:b/>
                <w:color w:val="FFFFFF"/>
                <w:sz w:val="20"/>
              </w:rPr>
              <w:t>ΔAUC 95% CI</w:t>
            </w:r>
          </w:p>
        </w:tc>
        <w:tc>
          <w:tcPr>
            <w:tcW w:type="dxa" w:w="1008"/>
            <w:shd w:val="clear" w:color="auto" w:fill="1F3A68"/>
          </w:tcPr>
          <w:p>
            <w:r>
              <w:rPr>
                <w:b/>
                <w:color w:val="FFFFFF"/>
                <w:sz w:val="20"/>
              </w:rPr>
              <w:t>AUC adj. p</w:t>
            </w:r>
          </w:p>
        </w:tc>
        <w:tc>
          <w:tcPr>
            <w:tcW w:type="dxa" w:w="1008"/>
            <w:shd w:val="clear" w:color="auto" w:fill="1F3A68"/>
          </w:tcPr>
          <w:p>
            <w:r>
              <w:rPr>
                <w:b/>
                <w:color w:val="FFFFFF"/>
                <w:sz w:val="20"/>
              </w:rPr>
              <w:t>ΔPR AUC</w:t>
            </w:r>
          </w:p>
        </w:tc>
        <w:tc>
          <w:tcPr>
            <w:tcW w:type="dxa" w:w="1008"/>
            <w:shd w:val="clear" w:color="auto" w:fill="1F3A68"/>
          </w:tcPr>
          <w:p>
            <w:r>
              <w:rPr>
                <w:b/>
                <w:color w:val="FFFFFF"/>
                <w:sz w:val="20"/>
              </w:rPr>
              <w:t>PR adj. p</w:t>
            </w:r>
          </w:p>
        </w:tc>
      </w:tr>
      <w:tr>
        <w:tc>
          <w:tcPr>
            <w:tcW w:type="dxa" w:w="2880"/>
            <w:vAlign w:val="center"/>
          </w:tcPr>
          <w:p>
            <w:r>
              <w:rPr>
                <w:sz w:val="20"/>
              </w:rPr>
              <w:t>risk_score_rf (benchmark)</w:t>
            </w:r>
          </w:p>
        </w:tc>
        <w:tc>
          <w:tcPr>
            <w:tcW w:type="dxa" w:w="1152"/>
            <w:vAlign w:val="center"/>
          </w:tcPr>
          <w:p>
            <w:r>
              <w:rPr>
                <w:sz w:val="20"/>
              </w:rPr>
              <w:t>0.6673</w:t>
            </w:r>
          </w:p>
        </w:tc>
        <w:tc>
          <w:tcPr>
            <w:tcW w:type="dxa" w:w="1152"/>
            <w:vAlign w:val="center"/>
          </w:tcPr>
          <w:p>
            <w:r>
              <w:rPr>
                <w:sz w:val="20"/>
              </w:rPr>
              <w:t>0.6703</w:t>
            </w:r>
          </w:p>
        </w:tc>
        <w:tc>
          <w:tcPr>
            <w:tcW w:type="dxa" w:w="1008"/>
            <w:vAlign w:val="center"/>
          </w:tcPr>
          <w:p>
            <w:r>
              <w:rPr>
                <w:sz w:val="20"/>
              </w:rPr>
              <w:t>-0.0029</w:t>
            </w:r>
          </w:p>
        </w:tc>
        <w:tc>
          <w:tcPr>
            <w:tcW w:type="dxa" w:w="2304"/>
            <w:vAlign w:val="center"/>
          </w:tcPr>
          <w:p>
            <w:r>
              <w:rPr>
                <w:sz w:val="20"/>
              </w:rPr>
              <w:t>[-0.0495, +0.0392]</w:t>
            </w:r>
          </w:p>
        </w:tc>
        <w:tc>
          <w:tcPr>
            <w:tcW w:type="dxa" w:w="1008"/>
            <w:vAlign w:val="center"/>
          </w:tcPr>
          <w:p>
            <w:r>
              <w:rPr>
                <w:sz w:val="20"/>
              </w:rPr>
              <w:t>1.000</w:t>
            </w:r>
          </w:p>
        </w:tc>
        <w:tc>
          <w:tcPr>
            <w:tcW w:type="dxa" w:w="1008"/>
            <w:vAlign w:val="center"/>
          </w:tcPr>
          <w:p>
            <w:r>
              <w:rPr>
                <w:sz w:val="20"/>
              </w:rPr>
              <w:t>-0.0255</w:t>
            </w:r>
          </w:p>
        </w:tc>
        <w:tc>
          <w:tcPr>
            <w:tcW w:type="dxa" w:w="1008"/>
            <w:vAlign w:val="center"/>
          </w:tcPr>
          <w:p>
            <w:r>
              <w:rPr>
                <w:sz w:val="20"/>
              </w:rPr>
              <w:t>0.100</w:t>
            </w:r>
          </w:p>
        </w:tc>
      </w:tr>
      <w:tr>
        <w:tc>
          <w:tcPr>
            <w:tcW w:type="dxa" w:w="2880"/>
            <w:vAlign w:val="center"/>
          </w:tcPr>
          <w:p>
            <w:r>
              <w:rPr>
                <w:sz w:val="20"/>
              </w:rPr>
              <w:t>score_RF (benchmark)</w:t>
            </w:r>
          </w:p>
        </w:tc>
        <w:tc>
          <w:tcPr>
            <w:tcW w:type="dxa" w:w="1152"/>
            <w:vAlign w:val="center"/>
          </w:tcPr>
          <w:p>
            <w:r>
              <w:rPr>
                <w:sz w:val="20"/>
              </w:rPr>
              <w:t>0.6673</w:t>
            </w:r>
          </w:p>
        </w:tc>
        <w:tc>
          <w:tcPr>
            <w:tcW w:type="dxa" w:w="1152"/>
            <w:vAlign w:val="center"/>
          </w:tcPr>
          <w:p>
            <w:r>
              <w:rPr>
                <w:sz w:val="20"/>
              </w:rPr>
              <w:t>0.6176</w:t>
            </w:r>
          </w:p>
        </w:tc>
        <w:tc>
          <w:tcPr>
            <w:tcW w:type="dxa" w:w="1008"/>
            <w:vAlign w:val="center"/>
          </w:tcPr>
          <w:p>
            <w:r>
              <w:rPr>
                <w:sz w:val="20"/>
              </w:rPr>
              <w:t>+0.0497</w:t>
            </w:r>
          </w:p>
        </w:tc>
        <w:tc>
          <w:tcPr>
            <w:tcW w:type="dxa" w:w="2304"/>
            <w:vAlign w:val="center"/>
          </w:tcPr>
          <w:p>
            <w:r>
              <w:rPr>
                <w:sz w:val="20"/>
              </w:rPr>
              <w:t>[+0.0210, +0.0780]</w:t>
            </w:r>
          </w:p>
        </w:tc>
        <w:tc>
          <w:tcPr>
            <w:tcW w:type="dxa" w:w="1008"/>
            <w:vAlign w:val="center"/>
          </w:tcPr>
          <w:p>
            <w:r>
              <w:rPr>
                <w:sz w:val="20"/>
              </w:rPr>
              <w:t>0.044</w:t>
            </w:r>
          </w:p>
        </w:tc>
        <w:tc>
          <w:tcPr>
            <w:tcW w:type="dxa" w:w="1008"/>
            <w:vAlign w:val="center"/>
          </w:tcPr>
          <w:p>
            <w:r>
              <w:rPr>
                <w:sz w:val="20"/>
              </w:rPr>
              <w:t>+0.0145</w:t>
            </w:r>
          </w:p>
        </w:tc>
        <w:tc>
          <w:tcPr>
            <w:tcW w:type="dxa" w:w="1008"/>
            <w:vAlign w:val="center"/>
          </w:tcPr>
          <w:p>
            <w:r>
              <w:rPr>
                <w:sz w:val="20"/>
              </w:rPr>
              <w:t>0.044</w:t>
            </w:r>
          </w:p>
        </w:tc>
      </w:tr>
    </w:tbl>
    <w:p>
      <w:r>
        <w:rPr>
          <w:b/>
          <w:i w:val="0"/>
          <w:sz w:val="24"/>
        </w:rPr>
        <w:t>Why the gap against risk_score_rf is structural, not methodological</w:t>
      </w:r>
    </w:p>
    <w:p>
      <w:r>
        <w:rPr>
          <w:b w:val="0"/>
          <w:i w:val="0"/>
          <w:sz w:val="22"/>
        </w:rPr>
        <w:t>Detailed inspection of the score distributions on the test sample shows the gap concentrates entirely in the high-precision tail. risk_score_rf achieves ~5× lift in the top 1% of the score distribution; the trained candidates achieve only ~1–2×. By the median of the score distribution the candidates match or exceed risk_score_rf. The Spearman rank correlation between the recommended model's scores and risk_score_rf is +0.15 — i.e. the two systems agree only weakly on which applicants to flag.</w:t>
      </w:r>
    </w:p>
    <w:p>
      <w:r>
        <w:rPr>
          <w:b w:val="0"/>
          <w:i w:val="0"/>
          <w:sz w:val="22"/>
        </w:rPr>
        <w:t>Combined with the fact that risk_score_rf is intentionally excluded from the modelling feature set (DROP_COLS), this pattern is the classic signature of a feature-data ceiling: the existing benchmark uses signals — almost certainly external bureau or payment-history data — that are not present in demand_direct.parquet. The pipeline is competently extracting the signal available from internal application data alone, but cannot recover the discriminative information embedded in the existing score.</w:t>
      </w:r>
    </w:p>
    <w:p>
      <w:r>
        <w:rPr>
          <w:b w:val="0"/>
          <w:i w:val="0"/>
          <w:sz w:val="22"/>
        </w:rPr>
        <w:t>Item K's quality floor and the conservative lower-bound tiebreak are what surface this honestly: the pipeline does not endorse the trained model as a benchmark replacement, only as a complementary signal within its feature ceiling.</w:t>
      </w:r>
    </w:p>
    <w:p>
      <w:pPr>
        <w:jc w:val="center"/>
      </w:pPr>
      <w:r>
        <w:drawing>
          <wp:inline xmlns:a="http://schemas.openxmlformats.org/drawingml/2006/main" xmlns:pic="http://schemas.openxmlformats.org/drawingml/2006/picture">
            <wp:extent cx="5943600" cy="3259982"/>
            <wp:docPr id="5" name="Picture 5"/>
            <wp:cNvGraphicFramePr>
              <a:graphicFrameLocks noChangeAspect="1"/>
            </wp:cNvGraphicFramePr>
            <a:graphic>
              <a:graphicData uri="http://schemas.openxmlformats.org/drawingml/2006/picture">
                <pic:pic>
                  <pic:nvPicPr>
                    <pic:cNvPr id="0" name="stakeholder_holdout_benchmarks.png"/>
                    <pic:cNvPicPr/>
                  </pic:nvPicPr>
                  <pic:blipFill>
                    <a:blip r:embed="rId13"/>
                    <a:stretch>
                      <a:fillRect/>
                    </a:stretch>
                  </pic:blipFill>
                  <pic:spPr>
                    <a:xfrm>
                      <a:off x="0" y="0"/>
                      <a:ext cx="5943600" cy="3259982"/>
                    </a:xfrm>
                    <a:prstGeom prst="rect"/>
                  </pic:spPr>
                </pic:pic>
              </a:graphicData>
            </a:graphic>
          </wp:inline>
        </w:drawing>
      </w:r>
    </w:p>
    <w:p>
      <w:pPr>
        <w:jc w:val="center"/>
      </w:pPr>
      <w:r>
        <w:rPr>
          <w:i/>
          <w:sz w:val="18"/>
        </w:rPr>
        <w:t>Figure: AUC and PR AUC: trained models vs existing benchmarks (test sample)</w:t>
      </w:r>
    </w:p>
    <w:p>
      <w:r>
        <w:br w:type="page"/>
      </w:r>
    </w:p>
    <w:p>
      <w:pPr>
        <w:pStyle w:val="Heading1"/>
      </w:pPr>
      <w:r>
        <w:rPr>
          <w:color w:val="1F3A68"/>
        </w:rPr>
        <w:t>14.  Results — Feature Importance and Drivers</w:t>
      </w:r>
    </w:p>
    <w:p>
      <w:r>
        <w:rPr>
          <w:b/>
          <w:i w:val="0"/>
          <w:sz w:val="22"/>
        </w:rPr>
        <w:t>Top 20 features for Logistic Regression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4608"/>
            <w:shd w:val="clear" w:color="auto" w:fill="1F3A68"/>
          </w:tcPr>
          <w:p>
            <w:r>
              <w:rPr>
                <w:b/>
                <w:color w:val="FFFFFF"/>
                <w:sz w:val="20"/>
              </w:rPr>
              <w:t>Feature</w:t>
            </w:r>
          </w:p>
        </w:tc>
        <w:tc>
          <w:tcPr>
            <w:tcW w:type="dxa" w:w="2304"/>
            <w:shd w:val="clear" w:color="auto" w:fill="1F3A68"/>
          </w:tcPr>
          <w:p>
            <w:r>
              <w:rPr>
                <w:b/>
                <w:color w:val="FFFFFF"/>
                <w:sz w:val="20"/>
              </w:rPr>
              <w:t>Coefficient / split-importance</w:t>
            </w:r>
          </w:p>
        </w:tc>
        <w:tc>
          <w:tcPr>
            <w:tcW w:type="dxa" w:w="2304"/>
            <w:shd w:val="clear" w:color="auto" w:fill="1F3A68"/>
          </w:tcPr>
          <w:p>
            <w:r>
              <w:rPr>
                <w:b/>
                <w:color w:val="FFFFFF"/>
                <w:sz w:val="20"/>
              </w:rPr>
              <w:t>Type</w:t>
            </w:r>
          </w:p>
        </w:tc>
      </w:tr>
      <w:tr>
        <w:tc>
          <w:tcPr>
            <w:tcW w:type="dxa" w:w="4608"/>
            <w:vAlign w:val="center"/>
          </w:tcPr>
          <w:p>
            <w:r>
              <w:rPr>
                <w:sz w:val="20"/>
              </w:rPr>
              <w:t>LOG_TOTAL_AMT</w:t>
            </w:r>
          </w:p>
        </w:tc>
        <w:tc>
          <w:tcPr>
            <w:tcW w:type="dxa" w:w="2304"/>
            <w:vAlign w:val="center"/>
          </w:tcPr>
          <w:p>
            <w:r>
              <w:rPr>
                <w:sz w:val="20"/>
              </w:rPr>
              <w:t>-0.5148</w:t>
            </w:r>
          </w:p>
        </w:tc>
        <w:tc>
          <w:tcPr>
            <w:tcW w:type="dxa" w:w="2304"/>
            <w:vAlign w:val="center"/>
          </w:tcPr>
          <w:p>
            <w:r>
              <w:rPr>
                <w:sz w:val="20"/>
              </w:rPr>
              <w:t>coefficient</w:t>
            </w:r>
          </w:p>
        </w:tc>
      </w:tr>
      <w:tr>
        <w:tc>
          <w:tcPr>
            <w:tcW w:type="dxa" w:w="4608"/>
            <w:vAlign w:val="center"/>
          </w:tcPr>
          <w:p>
            <w:r>
              <w:rPr>
                <w:sz w:val="20"/>
              </w:rPr>
              <w:t>TENOR</w:t>
            </w:r>
          </w:p>
        </w:tc>
        <w:tc>
          <w:tcPr>
            <w:tcW w:type="dxa" w:w="2304"/>
            <w:vAlign w:val="center"/>
          </w:tcPr>
          <w:p>
            <w:r>
              <w:rPr>
                <w:sz w:val="20"/>
              </w:rPr>
              <w:t>+0.4477</w:t>
            </w:r>
          </w:p>
        </w:tc>
        <w:tc>
          <w:tcPr>
            <w:tcW w:type="dxa" w:w="2304"/>
            <w:vAlign w:val="center"/>
          </w:tcPr>
          <w:p>
            <w:r>
              <w:rPr>
                <w:sz w:val="20"/>
              </w:rPr>
              <w:t>coefficient</w:t>
            </w:r>
          </w:p>
        </w:tc>
      </w:tr>
      <w:tr>
        <w:tc>
          <w:tcPr>
            <w:tcW w:type="dxa" w:w="4608"/>
            <w:vAlign w:val="center"/>
          </w:tcPr>
          <w:p>
            <w:r>
              <w:rPr>
                <w:sz w:val="20"/>
              </w:rPr>
              <w:t>MAX_CREDIT_TJ_AV</w:t>
            </w:r>
          </w:p>
        </w:tc>
        <w:tc>
          <w:tcPr>
            <w:tcW w:type="dxa" w:w="2304"/>
            <w:vAlign w:val="center"/>
          </w:tcPr>
          <w:p>
            <w:r>
              <w:rPr>
                <w:sz w:val="20"/>
              </w:rPr>
              <w:t>-0.3491</w:t>
            </w:r>
          </w:p>
        </w:tc>
        <w:tc>
          <w:tcPr>
            <w:tcW w:type="dxa" w:w="2304"/>
            <w:vAlign w:val="center"/>
          </w:tcPr>
          <w:p>
            <w:r>
              <w:rPr>
                <w:sz w:val="20"/>
              </w:rPr>
              <w:t>coefficient</w:t>
            </w:r>
          </w:p>
        </w:tc>
      </w:tr>
      <w:tr>
        <w:tc>
          <w:tcPr>
            <w:tcW w:type="dxa" w:w="4608"/>
            <w:vAlign w:val="center"/>
          </w:tcPr>
          <w:p>
            <w:r>
              <w:rPr>
                <w:sz w:val="20"/>
              </w:rPr>
              <w:t>AGE_T1</w:t>
            </w:r>
          </w:p>
        </w:tc>
        <w:tc>
          <w:tcPr>
            <w:tcW w:type="dxa" w:w="2304"/>
            <w:vAlign w:val="center"/>
          </w:tcPr>
          <w:p>
            <w:r>
              <w:rPr>
                <w:sz w:val="20"/>
              </w:rPr>
              <w:t>-0.3044</w:t>
            </w:r>
          </w:p>
        </w:tc>
        <w:tc>
          <w:tcPr>
            <w:tcW w:type="dxa" w:w="2304"/>
            <w:vAlign w:val="center"/>
          </w:tcPr>
          <w:p>
            <w:r>
              <w:rPr>
                <w:sz w:val="20"/>
              </w:rPr>
              <w:t>coefficient</w:t>
            </w:r>
          </w:p>
        </w:tc>
      </w:tr>
      <w:tr>
        <w:tc>
          <w:tcPr>
            <w:tcW w:type="dxa" w:w="4608"/>
            <w:vAlign w:val="center"/>
          </w:tcPr>
          <w:p>
            <w:r>
              <w:rPr>
                <w:sz w:val="20"/>
              </w:rPr>
              <w:t>FREQ_ESTCLI1</w:t>
            </w:r>
          </w:p>
        </w:tc>
        <w:tc>
          <w:tcPr>
            <w:tcW w:type="dxa" w:w="2304"/>
            <w:vAlign w:val="center"/>
          </w:tcPr>
          <w:p>
            <w:r>
              <w:rPr>
                <w:sz w:val="20"/>
              </w:rPr>
              <w:t>-0.2922</w:t>
            </w:r>
          </w:p>
        </w:tc>
        <w:tc>
          <w:tcPr>
            <w:tcW w:type="dxa" w:w="2304"/>
            <w:vAlign w:val="center"/>
          </w:tcPr>
          <w:p>
            <w:r>
              <w:rPr>
                <w:sz w:val="20"/>
              </w:rPr>
              <w:t>coefficient</w:t>
            </w:r>
          </w:p>
        </w:tc>
      </w:tr>
      <w:tr>
        <w:tc>
          <w:tcPr>
            <w:tcW w:type="dxa" w:w="4608"/>
            <w:vAlign w:val="center"/>
          </w:tcPr>
          <w:p>
            <w:r>
              <w:rPr>
                <w:sz w:val="20"/>
              </w:rPr>
              <w:t>FREQ_PRODTYPE3_X_HOUSE</w:t>
            </w:r>
          </w:p>
        </w:tc>
        <w:tc>
          <w:tcPr>
            <w:tcW w:type="dxa" w:w="2304"/>
            <w:vAlign w:val="center"/>
          </w:tcPr>
          <w:p>
            <w:r>
              <w:rPr>
                <w:sz w:val="20"/>
              </w:rPr>
              <w:t>+0.2436</w:t>
            </w:r>
          </w:p>
        </w:tc>
        <w:tc>
          <w:tcPr>
            <w:tcW w:type="dxa" w:w="2304"/>
            <w:vAlign w:val="center"/>
          </w:tcPr>
          <w:p>
            <w:r>
              <w:rPr>
                <w:sz w:val="20"/>
              </w:rPr>
              <w:t>coefficient</w:t>
            </w:r>
          </w:p>
        </w:tc>
      </w:tr>
      <w:tr>
        <w:tc>
          <w:tcPr>
            <w:tcW w:type="dxa" w:w="4608"/>
            <w:vAlign w:val="center"/>
          </w:tcPr>
          <w:p>
            <w:r>
              <w:rPr>
                <w:sz w:val="20"/>
              </w:rPr>
              <w:t>MISS_MAX_CREDIT_TJ_AV</w:t>
            </w:r>
          </w:p>
        </w:tc>
        <w:tc>
          <w:tcPr>
            <w:tcW w:type="dxa" w:w="2304"/>
            <w:vAlign w:val="center"/>
          </w:tcPr>
          <w:p>
            <w:r>
              <w:rPr>
                <w:sz w:val="20"/>
              </w:rPr>
              <w:t>+0.2429</w:t>
            </w:r>
          </w:p>
        </w:tc>
        <w:tc>
          <w:tcPr>
            <w:tcW w:type="dxa" w:w="2304"/>
            <w:vAlign w:val="center"/>
          </w:tcPr>
          <w:p>
            <w:r>
              <w:rPr>
                <w:sz w:val="20"/>
              </w:rPr>
              <w:t>coefficient</w:t>
            </w:r>
          </w:p>
        </w:tc>
      </w:tr>
      <w:tr>
        <w:tc>
          <w:tcPr>
            <w:tcW w:type="dxa" w:w="4608"/>
            <w:vAlign w:val="center"/>
          </w:tcPr>
          <w:p>
            <w:r>
              <w:rPr>
                <w:sz w:val="20"/>
              </w:rPr>
              <w:t>LEFT_TO_LIVE_X_INSTALLMENT_AMT</w:t>
            </w:r>
          </w:p>
        </w:tc>
        <w:tc>
          <w:tcPr>
            <w:tcW w:type="dxa" w:w="2304"/>
            <w:vAlign w:val="center"/>
          </w:tcPr>
          <w:p>
            <w:r>
              <w:rPr>
                <w:sz w:val="20"/>
              </w:rPr>
              <w:t>+0.2421</w:t>
            </w:r>
          </w:p>
        </w:tc>
        <w:tc>
          <w:tcPr>
            <w:tcW w:type="dxa" w:w="2304"/>
            <w:vAlign w:val="center"/>
          </w:tcPr>
          <w:p>
            <w:r>
              <w:rPr>
                <w:sz w:val="20"/>
              </w:rPr>
              <w:t>coefficient</w:t>
            </w:r>
          </w:p>
        </w:tc>
      </w:tr>
      <w:tr>
        <w:tc>
          <w:tcPr>
            <w:tcW w:type="dxa" w:w="4608"/>
            <w:vAlign w:val="center"/>
          </w:tcPr>
          <w:p>
            <w:r>
              <w:rPr>
                <w:sz w:val="20"/>
              </w:rPr>
              <w:t>FREQ_FAMILY_SITUATION_x_product_type_3</w:t>
            </w:r>
          </w:p>
        </w:tc>
        <w:tc>
          <w:tcPr>
            <w:tcW w:type="dxa" w:w="2304"/>
            <w:vAlign w:val="center"/>
          </w:tcPr>
          <w:p>
            <w:r>
              <w:rPr>
                <w:sz w:val="20"/>
              </w:rPr>
              <w:t>+0.2359</w:t>
            </w:r>
          </w:p>
        </w:tc>
        <w:tc>
          <w:tcPr>
            <w:tcW w:type="dxa" w:w="2304"/>
            <w:vAlign w:val="center"/>
          </w:tcPr>
          <w:p>
            <w:r>
              <w:rPr>
                <w:sz w:val="20"/>
              </w:rPr>
              <w:t>coefficient</w:t>
            </w:r>
          </w:p>
        </w:tc>
      </w:tr>
      <w:tr>
        <w:tc>
          <w:tcPr>
            <w:tcW w:type="dxa" w:w="4608"/>
            <w:vAlign w:val="center"/>
          </w:tcPr>
          <w:p>
            <w:r>
              <w:rPr>
                <w:sz w:val="20"/>
              </w:rPr>
              <w:t>INSTALLMENT_TO_HOUSEHOLD</w:t>
            </w:r>
          </w:p>
        </w:tc>
        <w:tc>
          <w:tcPr>
            <w:tcW w:type="dxa" w:w="2304"/>
            <w:vAlign w:val="center"/>
          </w:tcPr>
          <w:p>
            <w:r>
              <w:rPr>
                <w:sz w:val="20"/>
              </w:rPr>
              <w:t>+0.2234</w:t>
            </w:r>
          </w:p>
        </w:tc>
        <w:tc>
          <w:tcPr>
            <w:tcW w:type="dxa" w:w="2304"/>
            <w:vAlign w:val="center"/>
          </w:tcPr>
          <w:p>
            <w:r>
              <w:rPr>
                <w:sz w:val="20"/>
              </w:rPr>
              <w:t>coefficient</w:t>
            </w:r>
          </w:p>
        </w:tc>
      </w:tr>
      <w:tr>
        <w:tc>
          <w:tcPr>
            <w:tcW w:type="dxa" w:w="4608"/>
            <w:vAlign w:val="center"/>
          </w:tcPr>
          <w:p>
            <w:r>
              <w:rPr>
                <w:sz w:val="20"/>
              </w:rPr>
              <w:t>FREQ_BIN_MAX_CREDIT_TJ_AV_x_FAMILY_SITUATION</w:t>
            </w:r>
          </w:p>
        </w:tc>
        <w:tc>
          <w:tcPr>
            <w:tcW w:type="dxa" w:w="2304"/>
            <w:vAlign w:val="center"/>
          </w:tcPr>
          <w:p>
            <w:r>
              <w:rPr>
                <w:sz w:val="20"/>
              </w:rPr>
              <w:t>-0.2211</w:t>
            </w:r>
          </w:p>
        </w:tc>
        <w:tc>
          <w:tcPr>
            <w:tcW w:type="dxa" w:w="2304"/>
            <w:vAlign w:val="center"/>
          </w:tcPr>
          <w:p>
            <w:r>
              <w:rPr>
                <w:sz w:val="20"/>
              </w:rPr>
              <w:t>coefficient</w:t>
            </w:r>
          </w:p>
        </w:tc>
      </w:tr>
      <w:tr>
        <w:tc>
          <w:tcPr>
            <w:tcW w:type="dxa" w:w="4608"/>
            <w:vAlign w:val="center"/>
          </w:tcPr>
          <w:p>
            <w:r>
              <w:rPr>
                <w:sz w:val="20"/>
              </w:rPr>
              <w:t>LOG_MAX_CREDIT</w:t>
            </w:r>
          </w:p>
        </w:tc>
        <w:tc>
          <w:tcPr>
            <w:tcW w:type="dxa" w:w="2304"/>
            <w:vAlign w:val="center"/>
          </w:tcPr>
          <w:p>
            <w:r>
              <w:rPr>
                <w:sz w:val="20"/>
              </w:rPr>
              <w:t>-0.1915</w:t>
            </w:r>
          </w:p>
        </w:tc>
        <w:tc>
          <w:tcPr>
            <w:tcW w:type="dxa" w:w="2304"/>
            <w:vAlign w:val="center"/>
          </w:tcPr>
          <w:p>
            <w:r>
              <w:rPr>
                <w:sz w:val="20"/>
              </w:rPr>
              <w:t>coefficient</w:t>
            </w:r>
          </w:p>
        </w:tc>
      </w:tr>
      <w:tr>
        <w:tc>
          <w:tcPr>
            <w:tcW w:type="dxa" w:w="4608"/>
            <w:vAlign w:val="center"/>
          </w:tcPr>
          <w:p>
            <w:r>
              <w:rPr>
                <w:sz w:val="20"/>
              </w:rPr>
              <w:t>INCOME_T1_X_TOTAL_AMT</w:t>
            </w:r>
          </w:p>
        </w:tc>
        <w:tc>
          <w:tcPr>
            <w:tcW w:type="dxa" w:w="2304"/>
            <w:vAlign w:val="center"/>
          </w:tcPr>
          <w:p>
            <w:r>
              <w:rPr>
                <w:sz w:val="20"/>
              </w:rPr>
              <w:t>-0.1886</w:t>
            </w:r>
          </w:p>
        </w:tc>
        <w:tc>
          <w:tcPr>
            <w:tcW w:type="dxa" w:w="2304"/>
            <w:vAlign w:val="center"/>
          </w:tcPr>
          <w:p>
            <w:r>
              <w:rPr>
                <w:sz w:val="20"/>
              </w:rPr>
              <w:t>coefficient</w:t>
            </w:r>
          </w:p>
        </w:tc>
      </w:tr>
      <w:tr>
        <w:tc>
          <w:tcPr>
            <w:tcW w:type="dxa" w:w="4608"/>
            <w:vAlign w:val="center"/>
          </w:tcPr>
          <w:p>
            <w:r>
              <w:rPr>
                <w:sz w:val="20"/>
              </w:rPr>
              <w:t>FREQ_CUSTTYPE_X_HOUSE</w:t>
            </w:r>
          </w:p>
        </w:tc>
        <w:tc>
          <w:tcPr>
            <w:tcW w:type="dxa" w:w="2304"/>
            <w:vAlign w:val="center"/>
          </w:tcPr>
          <w:p>
            <w:r>
              <w:rPr>
                <w:sz w:val="20"/>
              </w:rPr>
              <w:t>-0.1872</w:t>
            </w:r>
          </w:p>
        </w:tc>
        <w:tc>
          <w:tcPr>
            <w:tcW w:type="dxa" w:w="2304"/>
            <w:vAlign w:val="center"/>
          </w:tcPr>
          <w:p>
            <w:r>
              <w:rPr>
                <w:sz w:val="20"/>
              </w:rPr>
              <w:t>coefficient</w:t>
            </w:r>
          </w:p>
        </w:tc>
      </w:tr>
      <w:tr>
        <w:tc>
          <w:tcPr>
            <w:tcW w:type="dxa" w:w="4608"/>
            <w:vAlign w:val="center"/>
          </w:tcPr>
          <w:p>
            <w:r>
              <w:rPr>
                <w:sz w:val="20"/>
              </w:rPr>
              <w:t>FREQ_BIN_LEFT_TO_LIVE_x_HOUSE_TYPE</w:t>
            </w:r>
          </w:p>
        </w:tc>
        <w:tc>
          <w:tcPr>
            <w:tcW w:type="dxa" w:w="2304"/>
            <w:vAlign w:val="center"/>
          </w:tcPr>
          <w:p>
            <w:r>
              <w:rPr>
                <w:sz w:val="20"/>
              </w:rPr>
              <w:t>-0.1828</w:t>
            </w:r>
          </w:p>
        </w:tc>
        <w:tc>
          <w:tcPr>
            <w:tcW w:type="dxa" w:w="2304"/>
            <w:vAlign w:val="center"/>
          </w:tcPr>
          <w:p>
            <w:r>
              <w:rPr>
                <w:sz w:val="20"/>
              </w:rPr>
              <w:t>coefficient</w:t>
            </w:r>
          </w:p>
        </w:tc>
      </w:tr>
      <w:tr>
        <w:tc>
          <w:tcPr>
            <w:tcW w:type="dxa" w:w="4608"/>
            <w:vAlign w:val="center"/>
          </w:tcPr>
          <w:p>
            <w:r>
              <w:rPr>
                <w:sz w:val="20"/>
              </w:rPr>
              <w:t>FREQ_FAMILY_SITUATION</w:t>
            </w:r>
          </w:p>
        </w:tc>
        <w:tc>
          <w:tcPr>
            <w:tcW w:type="dxa" w:w="2304"/>
            <w:vAlign w:val="center"/>
          </w:tcPr>
          <w:p>
            <w:r>
              <w:rPr>
                <w:sz w:val="20"/>
              </w:rPr>
              <w:t>-0.1825</w:t>
            </w:r>
          </w:p>
        </w:tc>
        <w:tc>
          <w:tcPr>
            <w:tcW w:type="dxa" w:w="2304"/>
            <w:vAlign w:val="center"/>
          </w:tcPr>
          <w:p>
            <w:r>
              <w:rPr>
                <w:sz w:val="20"/>
              </w:rPr>
              <w:t>coefficient</w:t>
            </w:r>
          </w:p>
        </w:tc>
      </w:tr>
      <w:tr>
        <w:tc>
          <w:tcPr>
            <w:tcW w:type="dxa" w:w="4608"/>
            <w:vAlign w:val="center"/>
          </w:tcPr>
          <w:p>
            <w:r>
              <w:rPr>
                <w:sz w:val="20"/>
              </w:rPr>
              <w:t>TOTAL_AMT</w:t>
            </w:r>
          </w:p>
        </w:tc>
        <w:tc>
          <w:tcPr>
            <w:tcW w:type="dxa" w:w="2304"/>
            <w:vAlign w:val="center"/>
          </w:tcPr>
          <w:p>
            <w:r>
              <w:rPr>
                <w:sz w:val="20"/>
              </w:rPr>
              <w:t>-0.1802</w:t>
            </w:r>
          </w:p>
        </w:tc>
        <w:tc>
          <w:tcPr>
            <w:tcW w:type="dxa" w:w="2304"/>
            <w:vAlign w:val="center"/>
          </w:tcPr>
          <w:p>
            <w:r>
              <w:rPr>
                <w:sz w:val="20"/>
              </w:rPr>
              <w:t>coefficient</w:t>
            </w:r>
          </w:p>
        </w:tc>
      </w:tr>
      <w:tr>
        <w:tc>
          <w:tcPr>
            <w:tcW w:type="dxa" w:w="4608"/>
            <w:vAlign w:val="center"/>
          </w:tcPr>
          <w:p>
            <w:r>
              <w:rPr>
                <w:sz w:val="20"/>
              </w:rPr>
              <w:t>INCOME_T1_X_AGE_T1</w:t>
            </w:r>
          </w:p>
        </w:tc>
        <w:tc>
          <w:tcPr>
            <w:tcW w:type="dxa" w:w="2304"/>
            <w:vAlign w:val="center"/>
          </w:tcPr>
          <w:p>
            <w:r>
              <w:rPr>
                <w:sz w:val="20"/>
              </w:rPr>
              <w:t>+0.1704</w:t>
            </w:r>
          </w:p>
        </w:tc>
        <w:tc>
          <w:tcPr>
            <w:tcW w:type="dxa" w:w="2304"/>
            <w:vAlign w:val="center"/>
          </w:tcPr>
          <w:p>
            <w:r>
              <w:rPr>
                <w:sz w:val="20"/>
              </w:rPr>
              <w:t>coefficient</w:t>
            </w:r>
          </w:p>
        </w:tc>
      </w:tr>
      <w:tr>
        <w:tc>
          <w:tcPr>
            <w:tcW w:type="dxa" w:w="4608"/>
            <w:vAlign w:val="center"/>
          </w:tcPr>
          <w:p>
            <w:r>
              <w:rPr>
                <w:sz w:val="20"/>
              </w:rPr>
              <w:t>FREQ_BIN_MAX_CREDIT_TJ_AV_x_HOUSE_TYPE</w:t>
            </w:r>
          </w:p>
        </w:tc>
        <w:tc>
          <w:tcPr>
            <w:tcW w:type="dxa" w:w="2304"/>
            <w:vAlign w:val="center"/>
          </w:tcPr>
          <w:p>
            <w:r>
              <w:rPr>
                <w:sz w:val="20"/>
              </w:rPr>
              <w:t>+0.1660</w:t>
            </w:r>
          </w:p>
        </w:tc>
        <w:tc>
          <w:tcPr>
            <w:tcW w:type="dxa" w:w="2304"/>
            <w:vAlign w:val="center"/>
          </w:tcPr>
          <w:p>
            <w:r>
              <w:rPr>
                <w:sz w:val="20"/>
              </w:rPr>
              <w:t>coefficient</w:t>
            </w:r>
          </w:p>
        </w:tc>
      </w:tr>
      <w:tr>
        <w:tc>
          <w:tcPr>
            <w:tcW w:type="dxa" w:w="4608"/>
            <w:vAlign w:val="center"/>
          </w:tcPr>
          <w:p>
            <w:r>
              <w:rPr>
                <w:sz w:val="20"/>
              </w:rPr>
              <w:t>HOUSEHOLD_INCOME</w:t>
            </w:r>
          </w:p>
        </w:tc>
        <w:tc>
          <w:tcPr>
            <w:tcW w:type="dxa" w:w="2304"/>
            <w:vAlign w:val="center"/>
          </w:tcPr>
          <w:p>
            <w:r>
              <w:rPr>
                <w:sz w:val="20"/>
              </w:rPr>
              <w:t>-0.1642</w:t>
            </w:r>
          </w:p>
        </w:tc>
        <w:tc>
          <w:tcPr>
            <w:tcW w:type="dxa" w:w="2304"/>
            <w:vAlign w:val="center"/>
          </w:tcPr>
          <w:p>
            <w:r>
              <w:rPr>
                <w:sz w:val="20"/>
              </w:rPr>
              <w:t>coefficient</w:t>
            </w:r>
          </w:p>
        </w:tc>
      </w:tr>
    </w:tbl>
    <w:p>
      <w:pPr>
        <w:jc w:val="center"/>
      </w:pPr>
      <w:r>
        <w:drawing>
          <wp:inline xmlns:a="http://schemas.openxmlformats.org/drawingml/2006/main" xmlns:pic="http://schemas.openxmlformats.org/drawingml/2006/picture">
            <wp:extent cx="5943600" cy="3778713"/>
            <wp:docPr id="6" name="Picture 6"/>
            <wp:cNvGraphicFramePr>
              <a:graphicFrameLocks noChangeAspect="1"/>
            </wp:cNvGraphicFramePr>
            <a:graphic>
              <a:graphicData uri="http://schemas.openxmlformats.org/drawingml/2006/picture">
                <pic:pic>
                  <pic:nvPicPr>
                    <pic:cNvPr id="0" name="stakeholder_top_drivers.png"/>
                    <pic:cNvPicPr/>
                  </pic:nvPicPr>
                  <pic:blipFill>
                    <a:blip r:embed="rId14"/>
                    <a:stretch>
                      <a:fillRect/>
                    </a:stretch>
                  </pic:blipFill>
                  <pic:spPr>
                    <a:xfrm>
                      <a:off x="0" y="0"/>
                      <a:ext cx="5943600" cy="3778713"/>
                    </a:xfrm>
                    <a:prstGeom prst="rect"/>
                  </pic:spPr>
                </pic:pic>
              </a:graphicData>
            </a:graphic>
          </wp:inline>
        </w:drawing>
      </w:r>
    </w:p>
    <w:p>
      <w:pPr>
        <w:jc w:val="center"/>
      </w:pPr>
      <w:r>
        <w:rPr>
          <w:i/>
          <w:sz w:val="18"/>
        </w:rPr>
        <w:t>Figure: Top feature drivers across candidate models</w:t>
      </w:r>
    </w:p>
    <w:p>
      <w:r>
        <w:br w:type="page"/>
      </w:r>
    </w:p>
    <w:p>
      <w:pPr>
        <w:pStyle w:val="Heading1"/>
      </w:pPr>
      <w:r>
        <w:rPr>
          <w:color w:val="1F3A68"/>
        </w:rPr>
        <w:t>15.  Results — Lift, Gains, and Threshold Analysis</w:t>
      </w:r>
    </w:p>
    <w:p>
      <w:r>
        <w:rPr>
          <w:b/>
          <w:i w:val="0"/>
          <w:sz w:val="24"/>
        </w:rPr>
        <w:t>Lift table by decile (recommended candidate)</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080"/>
        <w:gridCol w:w="1080"/>
        <w:gridCol w:w="1080"/>
        <w:gridCol w:w="1080"/>
        <w:gridCol w:w="1080"/>
        <w:gridCol w:w="1080"/>
        <w:gridCol w:w="1080"/>
        <w:gridCol w:w="1080"/>
      </w:tblGrid>
      <w:tr>
        <w:tc>
          <w:tcPr>
            <w:tcW w:type="dxa" w:w="1008"/>
            <w:shd w:val="clear" w:color="auto" w:fill="1F3A68"/>
          </w:tcPr>
          <w:p>
            <w:r>
              <w:rPr>
                <w:b/>
                <w:color w:val="FFFFFF"/>
                <w:sz w:val="20"/>
              </w:rPr>
              <w:t>Decile</w:t>
            </w:r>
          </w:p>
        </w:tc>
        <w:tc>
          <w:tcPr>
            <w:tcW w:type="dxa" w:w="1440"/>
            <w:shd w:val="clear" w:color="auto" w:fill="1F3A68"/>
          </w:tcPr>
          <w:p>
            <w:r>
              <w:rPr>
                <w:b/>
                <w:color w:val="FFFFFF"/>
                <w:sz w:val="20"/>
              </w:rPr>
              <w:t>Accounts</w:t>
            </w:r>
          </w:p>
        </w:tc>
        <w:tc>
          <w:tcPr>
            <w:tcW w:type="dxa" w:w="1296"/>
            <w:shd w:val="clear" w:color="auto" w:fill="1F3A68"/>
          </w:tcPr>
          <w:p>
            <w:r>
              <w:rPr>
                <w:b/>
                <w:color w:val="FFFFFF"/>
                <w:sz w:val="20"/>
              </w:rPr>
              <w:t>Defaults</w:t>
            </w:r>
          </w:p>
        </w:tc>
        <w:tc>
          <w:tcPr>
            <w:tcW w:type="dxa" w:w="1584"/>
            <w:shd w:val="clear" w:color="auto" w:fill="1F3A68"/>
          </w:tcPr>
          <w:p>
            <w:r>
              <w:rPr>
                <w:b/>
                <w:color w:val="FFFFFF"/>
                <w:sz w:val="20"/>
              </w:rPr>
              <w:t>Default rate</w:t>
            </w:r>
          </w:p>
        </w:tc>
        <w:tc>
          <w:tcPr>
            <w:tcW w:type="dxa" w:w="2016"/>
            <w:shd w:val="clear" w:color="auto" w:fill="1F3A68"/>
          </w:tcPr>
          <w:p>
            <w:r>
              <w:rPr>
                <w:b/>
                <w:color w:val="FFFFFF"/>
                <w:sz w:val="20"/>
              </w:rPr>
              <w:t>Cum default rate</w:t>
            </w:r>
          </w:p>
        </w:tc>
        <w:tc>
          <w:tcPr>
            <w:tcW w:type="dxa" w:w="1008"/>
            <w:shd w:val="clear" w:color="auto" w:fill="1F3A68"/>
          </w:tcPr>
          <w:p>
            <w:r>
              <w:rPr>
                <w:b/>
                <w:color w:val="FFFFFF"/>
                <w:sz w:val="20"/>
              </w:rPr>
              <w:t>Lift</w:t>
            </w:r>
          </w:p>
        </w:tc>
        <w:tc>
          <w:tcPr>
            <w:tcW w:type="dxa" w:w="1152"/>
            <w:shd w:val="clear" w:color="auto" w:fill="1F3A68"/>
          </w:tcPr>
          <w:p>
            <w:r>
              <w:rPr>
                <w:b/>
                <w:color w:val="FFFFFF"/>
                <w:sz w:val="20"/>
              </w:rPr>
              <w:t>Cum lift</w:t>
            </w:r>
          </w:p>
        </w:tc>
        <w:tc>
          <w:tcPr>
            <w:tcW w:type="dxa" w:w="1296"/>
            <w:shd w:val="clear" w:color="auto" w:fill="1F3A68"/>
          </w:tcPr>
          <w:p>
            <w:r>
              <w:rPr>
                <w:b/>
                <w:color w:val="FFFFFF"/>
                <w:sz w:val="20"/>
              </w:rPr>
              <w:t>Capture</w:t>
            </w:r>
          </w:p>
        </w:tc>
      </w:tr>
      <w:tr>
        <w:tc>
          <w:tcPr>
            <w:tcW w:type="dxa" w:w="1008"/>
            <w:vAlign w:val="center"/>
          </w:tcPr>
          <w:p>
            <w:r>
              <w:rPr>
                <w:sz w:val="20"/>
              </w:rPr>
              <w:t>1</w:t>
            </w:r>
          </w:p>
        </w:tc>
        <w:tc>
          <w:tcPr>
            <w:tcW w:type="dxa" w:w="1440"/>
            <w:vAlign w:val="center"/>
          </w:tcPr>
          <w:p>
            <w:r>
              <w:rPr>
                <w:sz w:val="20"/>
              </w:rPr>
              <w:t>683</w:t>
            </w:r>
          </w:p>
        </w:tc>
        <w:tc>
          <w:tcPr>
            <w:tcW w:type="dxa" w:w="1296"/>
            <w:vAlign w:val="center"/>
          </w:tcPr>
          <w:p>
            <w:r>
              <w:rPr>
                <w:sz w:val="20"/>
              </w:rPr>
              <w:t>55</w:t>
            </w:r>
          </w:p>
        </w:tc>
        <w:tc>
          <w:tcPr>
            <w:tcW w:type="dxa" w:w="1584"/>
            <w:vAlign w:val="center"/>
          </w:tcPr>
          <w:p>
            <w:r>
              <w:rPr>
                <w:sz w:val="20"/>
              </w:rPr>
              <w:t>8.1%</w:t>
            </w:r>
          </w:p>
        </w:tc>
        <w:tc>
          <w:tcPr>
            <w:tcW w:type="dxa" w:w="2016"/>
            <w:vAlign w:val="center"/>
          </w:tcPr>
          <w:p>
            <w:r>
              <w:rPr>
                <w:sz w:val="20"/>
              </w:rPr>
              <w:t>8.1%</w:t>
            </w:r>
          </w:p>
        </w:tc>
        <w:tc>
          <w:tcPr>
            <w:tcW w:type="dxa" w:w="1008"/>
            <w:vAlign w:val="center"/>
          </w:tcPr>
          <w:p>
            <w:r>
              <w:rPr>
                <w:sz w:val="20"/>
              </w:rPr>
              <w:t>2.093</w:t>
            </w:r>
          </w:p>
        </w:tc>
        <w:tc>
          <w:tcPr>
            <w:tcW w:type="dxa" w:w="1152"/>
            <w:vAlign w:val="center"/>
          </w:tcPr>
          <w:p>
            <w:r>
              <w:rPr>
                <w:sz w:val="20"/>
              </w:rPr>
              <w:t>2.093</w:t>
            </w:r>
          </w:p>
        </w:tc>
        <w:tc>
          <w:tcPr>
            <w:tcW w:type="dxa" w:w="1296"/>
            <w:vAlign w:val="center"/>
          </w:tcPr>
          <w:p>
            <w:r>
              <w:rPr>
                <w:sz w:val="20"/>
              </w:rPr>
              <w:t>20.9%</w:t>
            </w:r>
          </w:p>
        </w:tc>
      </w:tr>
      <w:tr>
        <w:tc>
          <w:tcPr>
            <w:tcW w:type="dxa" w:w="1008"/>
            <w:vAlign w:val="center"/>
          </w:tcPr>
          <w:p>
            <w:r>
              <w:rPr>
                <w:sz w:val="20"/>
              </w:rPr>
              <w:t>2</w:t>
            </w:r>
          </w:p>
        </w:tc>
        <w:tc>
          <w:tcPr>
            <w:tcW w:type="dxa" w:w="1440"/>
            <w:vAlign w:val="center"/>
          </w:tcPr>
          <w:p>
            <w:r>
              <w:rPr>
                <w:sz w:val="20"/>
              </w:rPr>
              <w:t>683</w:t>
            </w:r>
          </w:p>
        </w:tc>
        <w:tc>
          <w:tcPr>
            <w:tcW w:type="dxa" w:w="1296"/>
            <w:vAlign w:val="center"/>
          </w:tcPr>
          <w:p>
            <w:r>
              <w:rPr>
                <w:sz w:val="20"/>
              </w:rPr>
              <w:t>40</w:t>
            </w:r>
          </w:p>
        </w:tc>
        <w:tc>
          <w:tcPr>
            <w:tcW w:type="dxa" w:w="1584"/>
            <w:vAlign w:val="center"/>
          </w:tcPr>
          <w:p>
            <w:r>
              <w:rPr>
                <w:sz w:val="20"/>
              </w:rPr>
              <w:t>5.9%</w:t>
            </w:r>
          </w:p>
        </w:tc>
        <w:tc>
          <w:tcPr>
            <w:tcW w:type="dxa" w:w="2016"/>
            <w:vAlign w:val="center"/>
          </w:tcPr>
          <w:p>
            <w:r>
              <w:rPr>
                <w:sz w:val="20"/>
              </w:rPr>
              <w:t>7.0%</w:t>
            </w:r>
          </w:p>
        </w:tc>
        <w:tc>
          <w:tcPr>
            <w:tcW w:type="dxa" w:w="1008"/>
            <w:vAlign w:val="center"/>
          </w:tcPr>
          <w:p>
            <w:r>
              <w:rPr>
                <w:sz w:val="20"/>
              </w:rPr>
              <w:t>1.522</w:t>
            </w:r>
          </w:p>
        </w:tc>
        <w:tc>
          <w:tcPr>
            <w:tcW w:type="dxa" w:w="1152"/>
            <w:vAlign w:val="center"/>
          </w:tcPr>
          <w:p>
            <w:r>
              <w:rPr>
                <w:sz w:val="20"/>
              </w:rPr>
              <w:t>1.807</w:t>
            </w:r>
          </w:p>
        </w:tc>
        <w:tc>
          <w:tcPr>
            <w:tcW w:type="dxa" w:w="1296"/>
            <w:vAlign w:val="center"/>
          </w:tcPr>
          <w:p>
            <w:r>
              <w:rPr>
                <w:sz w:val="20"/>
              </w:rPr>
              <w:t>36.1%</w:t>
            </w:r>
          </w:p>
        </w:tc>
      </w:tr>
      <w:tr>
        <w:tc>
          <w:tcPr>
            <w:tcW w:type="dxa" w:w="1008"/>
            <w:vAlign w:val="center"/>
          </w:tcPr>
          <w:p>
            <w:r>
              <w:rPr>
                <w:sz w:val="20"/>
              </w:rPr>
              <w:t>3</w:t>
            </w:r>
          </w:p>
        </w:tc>
        <w:tc>
          <w:tcPr>
            <w:tcW w:type="dxa" w:w="1440"/>
            <w:vAlign w:val="center"/>
          </w:tcPr>
          <w:p>
            <w:r>
              <w:rPr>
                <w:sz w:val="20"/>
              </w:rPr>
              <w:t>683</w:t>
            </w:r>
          </w:p>
        </w:tc>
        <w:tc>
          <w:tcPr>
            <w:tcW w:type="dxa" w:w="1296"/>
            <w:vAlign w:val="center"/>
          </w:tcPr>
          <w:p>
            <w:r>
              <w:rPr>
                <w:sz w:val="20"/>
              </w:rPr>
              <w:t>38</w:t>
            </w:r>
          </w:p>
        </w:tc>
        <w:tc>
          <w:tcPr>
            <w:tcW w:type="dxa" w:w="1584"/>
            <w:vAlign w:val="center"/>
          </w:tcPr>
          <w:p>
            <w:r>
              <w:rPr>
                <w:sz w:val="20"/>
              </w:rPr>
              <w:t>5.6%</w:t>
            </w:r>
          </w:p>
        </w:tc>
        <w:tc>
          <w:tcPr>
            <w:tcW w:type="dxa" w:w="2016"/>
            <w:vAlign w:val="center"/>
          </w:tcPr>
          <w:p>
            <w:r>
              <w:rPr>
                <w:sz w:val="20"/>
              </w:rPr>
              <w:t>6.5%</w:t>
            </w:r>
          </w:p>
        </w:tc>
        <w:tc>
          <w:tcPr>
            <w:tcW w:type="dxa" w:w="1008"/>
            <w:vAlign w:val="center"/>
          </w:tcPr>
          <w:p>
            <w:r>
              <w:rPr>
                <w:sz w:val="20"/>
              </w:rPr>
              <w:t>1.446</w:t>
            </w:r>
          </w:p>
        </w:tc>
        <w:tc>
          <w:tcPr>
            <w:tcW w:type="dxa" w:w="1152"/>
            <w:vAlign w:val="center"/>
          </w:tcPr>
          <w:p>
            <w:r>
              <w:rPr>
                <w:sz w:val="20"/>
              </w:rPr>
              <w:t>1.687</w:t>
            </w:r>
          </w:p>
        </w:tc>
        <w:tc>
          <w:tcPr>
            <w:tcW w:type="dxa" w:w="1296"/>
            <w:vAlign w:val="center"/>
          </w:tcPr>
          <w:p>
            <w:r>
              <w:rPr>
                <w:sz w:val="20"/>
              </w:rPr>
              <w:t>50.6%</w:t>
            </w:r>
          </w:p>
        </w:tc>
      </w:tr>
      <w:tr>
        <w:tc>
          <w:tcPr>
            <w:tcW w:type="dxa" w:w="1008"/>
            <w:vAlign w:val="center"/>
          </w:tcPr>
          <w:p>
            <w:r>
              <w:rPr>
                <w:sz w:val="20"/>
              </w:rPr>
              <w:t>4</w:t>
            </w:r>
          </w:p>
        </w:tc>
        <w:tc>
          <w:tcPr>
            <w:tcW w:type="dxa" w:w="1440"/>
            <w:vAlign w:val="center"/>
          </w:tcPr>
          <w:p>
            <w:r>
              <w:rPr>
                <w:sz w:val="20"/>
              </w:rPr>
              <w:t>683</w:t>
            </w:r>
          </w:p>
        </w:tc>
        <w:tc>
          <w:tcPr>
            <w:tcW w:type="dxa" w:w="1296"/>
            <w:vAlign w:val="center"/>
          </w:tcPr>
          <w:p>
            <w:r>
              <w:rPr>
                <w:sz w:val="20"/>
              </w:rPr>
              <w:t>35</w:t>
            </w:r>
          </w:p>
        </w:tc>
        <w:tc>
          <w:tcPr>
            <w:tcW w:type="dxa" w:w="1584"/>
            <w:vAlign w:val="center"/>
          </w:tcPr>
          <w:p>
            <w:r>
              <w:rPr>
                <w:sz w:val="20"/>
              </w:rPr>
              <w:t>5.1%</w:t>
            </w:r>
          </w:p>
        </w:tc>
        <w:tc>
          <w:tcPr>
            <w:tcW w:type="dxa" w:w="2016"/>
            <w:vAlign w:val="center"/>
          </w:tcPr>
          <w:p>
            <w:r>
              <w:rPr>
                <w:sz w:val="20"/>
              </w:rPr>
              <w:t>6.1%</w:t>
            </w:r>
          </w:p>
        </w:tc>
        <w:tc>
          <w:tcPr>
            <w:tcW w:type="dxa" w:w="1008"/>
            <w:vAlign w:val="center"/>
          </w:tcPr>
          <w:p>
            <w:r>
              <w:rPr>
                <w:sz w:val="20"/>
              </w:rPr>
              <w:t>1.332</w:t>
            </w:r>
          </w:p>
        </w:tc>
        <w:tc>
          <w:tcPr>
            <w:tcW w:type="dxa" w:w="1152"/>
            <w:vAlign w:val="center"/>
          </w:tcPr>
          <w:p>
            <w:r>
              <w:rPr>
                <w:sz w:val="20"/>
              </w:rPr>
              <w:t>1.598</w:t>
            </w:r>
          </w:p>
        </w:tc>
        <w:tc>
          <w:tcPr>
            <w:tcW w:type="dxa" w:w="1296"/>
            <w:vAlign w:val="center"/>
          </w:tcPr>
          <w:p>
            <w:r>
              <w:rPr>
                <w:sz w:val="20"/>
              </w:rPr>
              <w:t>63.9%</w:t>
            </w:r>
          </w:p>
        </w:tc>
      </w:tr>
      <w:tr>
        <w:tc>
          <w:tcPr>
            <w:tcW w:type="dxa" w:w="1008"/>
            <w:vAlign w:val="center"/>
          </w:tcPr>
          <w:p>
            <w:r>
              <w:rPr>
                <w:sz w:val="20"/>
              </w:rPr>
              <w:t>5</w:t>
            </w:r>
          </w:p>
        </w:tc>
        <w:tc>
          <w:tcPr>
            <w:tcW w:type="dxa" w:w="1440"/>
            <w:vAlign w:val="center"/>
          </w:tcPr>
          <w:p>
            <w:r>
              <w:rPr>
                <w:sz w:val="20"/>
              </w:rPr>
              <w:t>683</w:t>
            </w:r>
          </w:p>
        </w:tc>
        <w:tc>
          <w:tcPr>
            <w:tcW w:type="dxa" w:w="1296"/>
            <w:vAlign w:val="center"/>
          </w:tcPr>
          <w:p>
            <w:r>
              <w:rPr>
                <w:sz w:val="20"/>
              </w:rPr>
              <w:t>25</w:t>
            </w:r>
          </w:p>
        </w:tc>
        <w:tc>
          <w:tcPr>
            <w:tcW w:type="dxa" w:w="1584"/>
            <w:vAlign w:val="center"/>
          </w:tcPr>
          <w:p>
            <w:r>
              <w:rPr>
                <w:sz w:val="20"/>
              </w:rPr>
              <w:t>3.7%</w:t>
            </w:r>
          </w:p>
        </w:tc>
        <w:tc>
          <w:tcPr>
            <w:tcW w:type="dxa" w:w="2016"/>
            <w:vAlign w:val="center"/>
          </w:tcPr>
          <w:p>
            <w:r>
              <w:rPr>
                <w:sz w:val="20"/>
              </w:rPr>
              <w:t>5.7%</w:t>
            </w:r>
          </w:p>
        </w:tc>
        <w:tc>
          <w:tcPr>
            <w:tcW w:type="dxa" w:w="1008"/>
            <w:vAlign w:val="center"/>
          </w:tcPr>
          <w:p>
            <w:r>
              <w:rPr>
                <w:sz w:val="20"/>
              </w:rPr>
              <w:t>0.951</w:t>
            </w:r>
          </w:p>
        </w:tc>
        <w:tc>
          <w:tcPr>
            <w:tcW w:type="dxa" w:w="1152"/>
            <w:vAlign w:val="center"/>
          </w:tcPr>
          <w:p>
            <w:r>
              <w:rPr>
                <w:sz w:val="20"/>
              </w:rPr>
              <w:t>1.469</w:t>
            </w:r>
          </w:p>
        </w:tc>
        <w:tc>
          <w:tcPr>
            <w:tcW w:type="dxa" w:w="1296"/>
            <w:vAlign w:val="center"/>
          </w:tcPr>
          <w:p>
            <w:r>
              <w:rPr>
                <w:sz w:val="20"/>
              </w:rPr>
              <w:t>73.4%</w:t>
            </w:r>
          </w:p>
        </w:tc>
      </w:tr>
      <w:tr>
        <w:tc>
          <w:tcPr>
            <w:tcW w:type="dxa" w:w="1008"/>
            <w:vAlign w:val="center"/>
          </w:tcPr>
          <w:p>
            <w:r>
              <w:rPr>
                <w:sz w:val="20"/>
              </w:rPr>
              <w:t>6</w:t>
            </w:r>
          </w:p>
        </w:tc>
        <w:tc>
          <w:tcPr>
            <w:tcW w:type="dxa" w:w="1440"/>
            <w:vAlign w:val="center"/>
          </w:tcPr>
          <w:p>
            <w:r>
              <w:rPr>
                <w:sz w:val="20"/>
              </w:rPr>
              <w:t>683</w:t>
            </w:r>
          </w:p>
        </w:tc>
        <w:tc>
          <w:tcPr>
            <w:tcW w:type="dxa" w:w="1296"/>
            <w:vAlign w:val="center"/>
          </w:tcPr>
          <w:p>
            <w:r>
              <w:rPr>
                <w:sz w:val="20"/>
              </w:rPr>
              <w:t>22</w:t>
            </w:r>
          </w:p>
        </w:tc>
        <w:tc>
          <w:tcPr>
            <w:tcW w:type="dxa" w:w="1584"/>
            <w:vAlign w:val="center"/>
          </w:tcPr>
          <w:p>
            <w:r>
              <w:rPr>
                <w:sz w:val="20"/>
              </w:rPr>
              <w:t>3.2%</w:t>
            </w:r>
          </w:p>
        </w:tc>
        <w:tc>
          <w:tcPr>
            <w:tcW w:type="dxa" w:w="2016"/>
            <w:vAlign w:val="center"/>
          </w:tcPr>
          <w:p>
            <w:r>
              <w:rPr>
                <w:sz w:val="20"/>
              </w:rPr>
              <w:t>5.2%</w:t>
            </w:r>
          </w:p>
        </w:tc>
        <w:tc>
          <w:tcPr>
            <w:tcW w:type="dxa" w:w="1008"/>
            <w:vAlign w:val="center"/>
          </w:tcPr>
          <w:p>
            <w:r>
              <w:rPr>
                <w:sz w:val="20"/>
              </w:rPr>
              <w:t>0.837</w:t>
            </w:r>
          </w:p>
        </w:tc>
        <w:tc>
          <w:tcPr>
            <w:tcW w:type="dxa" w:w="1152"/>
            <w:vAlign w:val="center"/>
          </w:tcPr>
          <w:p>
            <w:r>
              <w:rPr>
                <w:sz w:val="20"/>
              </w:rPr>
              <w:t>1.363</w:t>
            </w:r>
          </w:p>
        </w:tc>
        <w:tc>
          <w:tcPr>
            <w:tcW w:type="dxa" w:w="1296"/>
            <w:vAlign w:val="center"/>
          </w:tcPr>
          <w:p>
            <w:r>
              <w:rPr>
                <w:sz w:val="20"/>
              </w:rPr>
              <w:t>81.7%</w:t>
            </w:r>
          </w:p>
        </w:tc>
      </w:tr>
      <w:tr>
        <w:tc>
          <w:tcPr>
            <w:tcW w:type="dxa" w:w="1008"/>
            <w:vAlign w:val="center"/>
          </w:tcPr>
          <w:p>
            <w:r>
              <w:rPr>
                <w:sz w:val="20"/>
              </w:rPr>
              <w:t>7</w:t>
            </w:r>
          </w:p>
        </w:tc>
        <w:tc>
          <w:tcPr>
            <w:tcW w:type="dxa" w:w="1440"/>
            <w:vAlign w:val="center"/>
          </w:tcPr>
          <w:p>
            <w:r>
              <w:rPr>
                <w:sz w:val="20"/>
              </w:rPr>
              <w:t>683</w:t>
            </w:r>
          </w:p>
        </w:tc>
        <w:tc>
          <w:tcPr>
            <w:tcW w:type="dxa" w:w="1296"/>
            <w:vAlign w:val="center"/>
          </w:tcPr>
          <w:p>
            <w:r>
              <w:rPr>
                <w:sz w:val="20"/>
              </w:rPr>
              <w:t>23</w:t>
            </w:r>
          </w:p>
        </w:tc>
        <w:tc>
          <w:tcPr>
            <w:tcW w:type="dxa" w:w="1584"/>
            <w:vAlign w:val="center"/>
          </w:tcPr>
          <w:p>
            <w:r>
              <w:rPr>
                <w:sz w:val="20"/>
              </w:rPr>
              <w:t>3.4%</w:t>
            </w:r>
          </w:p>
        </w:tc>
        <w:tc>
          <w:tcPr>
            <w:tcW w:type="dxa" w:w="2016"/>
            <w:vAlign w:val="center"/>
          </w:tcPr>
          <w:p>
            <w:r>
              <w:rPr>
                <w:sz w:val="20"/>
              </w:rPr>
              <w:t>5.0%</w:t>
            </w:r>
          </w:p>
        </w:tc>
        <w:tc>
          <w:tcPr>
            <w:tcW w:type="dxa" w:w="1008"/>
            <w:vAlign w:val="center"/>
          </w:tcPr>
          <w:p>
            <w:r>
              <w:rPr>
                <w:sz w:val="20"/>
              </w:rPr>
              <w:t>0.875</w:t>
            </w:r>
          </w:p>
        </w:tc>
        <w:tc>
          <w:tcPr>
            <w:tcW w:type="dxa" w:w="1152"/>
            <w:vAlign w:val="center"/>
          </w:tcPr>
          <w:p>
            <w:r>
              <w:rPr>
                <w:sz w:val="20"/>
              </w:rPr>
              <w:t>1.294</w:t>
            </w:r>
          </w:p>
        </w:tc>
        <w:tc>
          <w:tcPr>
            <w:tcW w:type="dxa" w:w="1296"/>
            <w:vAlign w:val="center"/>
          </w:tcPr>
          <w:p>
            <w:r>
              <w:rPr>
                <w:sz w:val="20"/>
              </w:rPr>
              <w:t>90.5%</w:t>
            </w:r>
          </w:p>
        </w:tc>
      </w:tr>
      <w:tr>
        <w:tc>
          <w:tcPr>
            <w:tcW w:type="dxa" w:w="1008"/>
            <w:vAlign w:val="center"/>
          </w:tcPr>
          <w:p>
            <w:r>
              <w:rPr>
                <w:sz w:val="20"/>
              </w:rPr>
              <w:t>8</w:t>
            </w:r>
          </w:p>
        </w:tc>
        <w:tc>
          <w:tcPr>
            <w:tcW w:type="dxa" w:w="1440"/>
            <w:vAlign w:val="center"/>
          </w:tcPr>
          <w:p>
            <w:r>
              <w:rPr>
                <w:sz w:val="20"/>
              </w:rPr>
              <w:t>683</w:t>
            </w:r>
          </w:p>
        </w:tc>
        <w:tc>
          <w:tcPr>
            <w:tcW w:type="dxa" w:w="1296"/>
            <w:vAlign w:val="center"/>
          </w:tcPr>
          <w:p>
            <w:r>
              <w:rPr>
                <w:sz w:val="20"/>
              </w:rPr>
              <w:t>9</w:t>
            </w:r>
          </w:p>
        </w:tc>
        <w:tc>
          <w:tcPr>
            <w:tcW w:type="dxa" w:w="1584"/>
            <w:vAlign w:val="center"/>
          </w:tcPr>
          <w:p>
            <w:r>
              <w:rPr>
                <w:sz w:val="20"/>
              </w:rPr>
              <w:t>1.3%</w:t>
            </w:r>
          </w:p>
        </w:tc>
        <w:tc>
          <w:tcPr>
            <w:tcW w:type="dxa" w:w="2016"/>
            <w:vAlign w:val="center"/>
          </w:tcPr>
          <w:p>
            <w:r>
              <w:rPr>
                <w:sz w:val="20"/>
              </w:rPr>
              <w:t>4.5%</w:t>
            </w:r>
          </w:p>
        </w:tc>
        <w:tc>
          <w:tcPr>
            <w:tcW w:type="dxa" w:w="1008"/>
            <w:vAlign w:val="center"/>
          </w:tcPr>
          <w:p>
            <w:r>
              <w:rPr>
                <w:sz w:val="20"/>
              </w:rPr>
              <w:t>0.342</w:t>
            </w:r>
          </w:p>
        </w:tc>
        <w:tc>
          <w:tcPr>
            <w:tcW w:type="dxa" w:w="1152"/>
            <w:vAlign w:val="center"/>
          </w:tcPr>
          <w:p>
            <w:r>
              <w:rPr>
                <w:sz w:val="20"/>
              </w:rPr>
              <w:t>1.175</w:t>
            </w:r>
          </w:p>
        </w:tc>
        <w:tc>
          <w:tcPr>
            <w:tcW w:type="dxa" w:w="1296"/>
            <w:vAlign w:val="center"/>
          </w:tcPr>
          <w:p>
            <w:r>
              <w:rPr>
                <w:sz w:val="20"/>
              </w:rPr>
              <w:t>93.9%</w:t>
            </w:r>
          </w:p>
        </w:tc>
      </w:tr>
      <w:tr>
        <w:tc>
          <w:tcPr>
            <w:tcW w:type="dxa" w:w="1008"/>
            <w:vAlign w:val="center"/>
          </w:tcPr>
          <w:p>
            <w:r>
              <w:rPr>
                <w:sz w:val="20"/>
              </w:rPr>
              <w:t>9</w:t>
            </w:r>
          </w:p>
        </w:tc>
        <w:tc>
          <w:tcPr>
            <w:tcW w:type="dxa" w:w="1440"/>
            <w:vAlign w:val="center"/>
          </w:tcPr>
          <w:p>
            <w:r>
              <w:rPr>
                <w:sz w:val="20"/>
              </w:rPr>
              <w:t>683</w:t>
            </w:r>
          </w:p>
        </w:tc>
        <w:tc>
          <w:tcPr>
            <w:tcW w:type="dxa" w:w="1296"/>
            <w:vAlign w:val="center"/>
          </w:tcPr>
          <w:p>
            <w:r>
              <w:rPr>
                <w:sz w:val="20"/>
              </w:rPr>
              <w:t>11</w:t>
            </w:r>
          </w:p>
        </w:tc>
        <w:tc>
          <w:tcPr>
            <w:tcW w:type="dxa" w:w="1584"/>
            <w:vAlign w:val="center"/>
          </w:tcPr>
          <w:p>
            <w:r>
              <w:rPr>
                <w:sz w:val="20"/>
              </w:rPr>
              <w:t>1.6%</w:t>
            </w:r>
          </w:p>
        </w:tc>
        <w:tc>
          <w:tcPr>
            <w:tcW w:type="dxa" w:w="2016"/>
            <w:vAlign w:val="center"/>
          </w:tcPr>
          <w:p>
            <w:r>
              <w:rPr>
                <w:sz w:val="20"/>
              </w:rPr>
              <w:t>4.2%</w:t>
            </w:r>
          </w:p>
        </w:tc>
        <w:tc>
          <w:tcPr>
            <w:tcW w:type="dxa" w:w="1008"/>
            <w:vAlign w:val="center"/>
          </w:tcPr>
          <w:p>
            <w:r>
              <w:rPr>
                <w:sz w:val="20"/>
              </w:rPr>
              <w:t>0.419</w:t>
            </w:r>
          </w:p>
        </w:tc>
        <w:tc>
          <w:tcPr>
            <w:tcW w:type="dxa" w:w="1152"/>
            <w:vAlign w:val="center"/>
          </w:tcPr>
          <w:p>
            <w:r>
              <w:rPr>
                <w:sz w:val="20"/>
              </w:rPr>
              <w:t>1.091</w:t>
            </w:r>
          </w:p>
        </w:tc>
        <w:tc>
          <w:tcPr>
            <w:tcW w:type="dxa" w:w="1296"/>
            <w:vAlign w:val="center"/>
          </w:tcPr>
          <w:p>
            <w:r>
              <w:rPr>
                <w:sz w:val="20"/>
              </w:rPr>
              <w:t>98.1%</w:t>
            </w:r>
          </w:p>
        </w:tc>
      </w:tr>
      <w:tr>
        <w:tc>
          <w:tcPr>
            <w:tcW w:type="dxa" w:w="1008"/>
            <w:vAlign w:val="center"/>
          </w:tcPr>
          <w:p>
            <w:r>
              <w:rPr>
                <w:sz w:val="20"/>
              </w:rPr>
              <w:t>10</w:t>
            </w:r>
          </w:p>
        </w:tc>
        <w:tc>
          <w:tcPr>
            <w:tcW w:type="dxa" w:w="1440"/>
            <w:vAlign w:val="center"/>
          </w:tcPr>
          <w:p>
            <w:r>
              <w:rPr>
                <w:sz w:val="20"/>
              </w:rPr>
              <w:t>688</w:t>
            </w:r>
          </w:p>
        </w:tc>
        <w:tc>
          <w:tcPr>
            <w:tcW w:type="dxa" w:w="1296"/>
            <w:vAlign w:val="center"/>
          </w:tcPr>
          <w:p>
            <w:r>
              <w:rPr>
                <w:sz w:val="20"/>
              </w:rPr>
              <w:t>5</w:t>
            </w:r>
          </w:p>
        </w:tc>
        <w:tc>
          <w:tcPr>
            <w:tcW w:type="dxa" w:w="1584"/>
            <w:vAlign w:val="center"/>
          </w:tcPr>
          <w:p>
            <w:r>
              <w:rPr>
                <w:sz w:val="20"/>
              </w:rPr>
              <w:t>0.7%</w:t>
            </w:r>
          </w:p>
        </w:tc>
        <w:tc>
          <w:tcPr>
            <w:tcW w:type="dxa" w:w="2016"/>
            <w:vAlign w:val="center"/>
          </w:tcPr>
          <w:p>
            <w:r>
              <w:rPr>
                <w:sz w:val="20"/>
              </w:rPr>
              <w:t>3.8%</w:t>
            </w:r>
          </w:p>
        </w:tc>
        <w:tc>
          <w:tcPr>
            <w:tcW w:type="dxa" w:w="1008"/>
            <w:vAlign w:val="center"/>
          </w:tcPr>
          <w:p>
            <w:r>
              <w:rPr>
                <w:sz w:val="20"/>
              </w:rPr>
              <w:t>0.189</w:t>
            </w:r>
          </w:p>
        </w:tc>
        <w:tc>
          <w:tcPr>
            <w:tcW w:type="dxa" w:w="1152"/>
            <w:vAlign w:val="center"/>
          </w:tcPr>
          <w:p>
            <w:r>
              <w:rPr>
                <w:sz w:val="20"/>
              </w:rPr>
              <w:t>1.000</w:t>
            </w:r>
          </w:p>
        </w:tc>
        <w:tc>
          <w:tcPr>
            <w:tcW w:type="dxa" w:w="1296"/>
            <w:vAlign w:val="center"/>
          </w:tcPr>
          <w:p>
            <w:r>
              <w:rPr>
                <w:sz w:val="20"/>
              </w:rPr>
              <w:t>100.0%</w:t>
            </w:r>
          </w:p>
        </w:tc>
      </w:tr>
    </w:tbl>
    <w:p>
      <w:pPr>
        <w:jc w:val="center"/>
      </w:pPr>
      <w:r>
        <w:drawing>
          <wp:inline xmlns:a="http://schemas.openxmlformats.org/drawingml/2006/main" xmlns:pic="http://schemas.openxmlformats.org/drawingml/2006/picture">
            <wp:extent cx="5943600" cy="3138783"/>
            <wp:docPr id="7" name="Picture 7"/>
            <wp:cNvGraphicFramePr>
              <a:graphicFrameLocks noChangeAspect="1"/>
            </wp:cNvGraphicFramePr>
            <a:graphic>
              <a:graphicData uri="http://schemas.openxmlformats.org/drawingml/2006/picture">
                <pic:pic>
                  <pic:nvPicPr>
                    <pic:cNvPr id="0" name="stakeholder_gains.png"/>
                    <pic:cNvPicPr/>
                  </pic:nvPicPr>
                  <pic:blipFill>
                    <a:blip r:embed="rId15"/>
                    <a:stretch>
                      <a:fillRect/>
                    </a:stretch>
                  </pic:blipFill>
                  <pic:spPr>
                    <a:xfrm>
                      <a:off x="0" y="0"/>
                      <a:ext cx="5943600" cy="3138783"/>
                    </a:xfrm>
                    <a:prstGeom prst="rect"/>
                  </pic:spPr>
                </pic:pic>
              </a:graphicData>
            </a:graphic>
          </wp:inline>
        </w:drawing>
      </w:r>
    </w:p>
    <w:p>
      <w:pPr>
        <w:jc w:val="center"/>
      </w:pPr>
      <w:r>
        <w:rPr>
          <w:i/>
          <w:sz w:val="18"/>
        </w:rPr>
        <w:t>Figure: Cumulative gains chart — recommended candidate vs benchmarks</w:t>
      </w:r>
    </w:p>
    <w:p>
      <w:pPr>
        <w:jc w:val="center"/>
      </w:pPr>
      <w:r>
        <w:drawing>
          <wp:inline xmlns:a="http://schemas.openxmlformats.org/drawingml/2006/main" xmlns:pic="http://schemas.openxmlformats.org/drawingml/2006/picture">
            <wp:extent cx="5943600" cy="3160145"/>
            <wp:docPr id="8" name="Picture 8"/>
            <wp:cNvGraphicFramePr>
              <a:graphicFrameLocks noChangeAspect="1"/>
            </wp:cNvGraphicFramePr>
            <a:graphic>
              <a:graphicData uri="http://schemas.openxmlformats.org/drawingml/2006/picture">
                <pic:pic>
                  <pic:nvPicPr>
                    <pic:cNvPr id="0" name="stakeholder_threshold_analysis.png"/>
                    <pic:cNvPicPr/>
                  </pic:nvPicPr>
                  <pic:blipFill>
                    <a:blip r:embed="rId16"/>
                    <a:stretch>
                      <a:fillRect/>
                    </a:stretch>
                  </pic:blipFill>
                  <pic:spPr>
                    <a:xfrm>
                      <a:off x="0" y="0"/>
                      <a:ext cx="5943600" cy="3160145"/>
                    </a:xfrm>
                    <a:prstGeom prst="rect"/>
                  </pic:spPr>
                </pic:pic>
              </a:graphicData>
            </a:graphic>
          </wp:inline>
        </w:drawing>
      </w:r>
    </w:p>
    <w:p>
      <w:pPr>
        <w:jc w:val="center"/>
      </w:pPr>
      <w:r>
        <w:rPr>
          <w:i/>
          <w:sz w:val="18"/>
        </w:rPr>
        <w:t>Figure: Confusion-matrix metrics at business-relevant rejection thresholds</w:t>
      </w:r>
    </w:p>
    <w:p>
      <w:r>
        <w:br w:type="page"/>
      </w:r>
    </w:p>
    <w:p>
      <w:pPr>
        <w:pStyle w:val="Heading1"/>
      </w:pPr>
      <w:r>
        <w:rPr>
          <w:color w:val="1F3A68"/>
        </w:rPr>
        <w:t>16.  Results — Stability, Drift, and Fair Lending</w:t>
      </w:r>
    </w:p>
    <w:p>
      <w:r>
        <w:rPr>
          <w:b/>
          <w:i w:val="0"/>
          <w:sz w:val="24"/>
        </w:rPr>
        <w:t>Population Stability Index (model scores)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4320"/>
            <w:shd w:val="clear" w:color="auto" w:fill="1F3A68"/>
          </w:tcPr>
          <w:p>
            <w:r>
              <w:rPr>
                <w:b/>
                <w:color w:val="FFFFFF"/>
                <w:sz w:val="20"/>
              </w:rPr>
              <w:t>Model</w:t>
            </w:r>
          </w:p>
        </w:tc>
        <w:tc>
          <w:tcPr>
            <w:tcW w:type="dxa" w:w="1440"/>
            <w:shd w:val="clear" w:color="auto" w:fill="1F3A68"/>
          </w:tcPr>
          <w:p>
            <w:r>
              <w:rPr>
                <w:b/>
                <w:color w:val="FFFFFF"/>
                <w:sz w:val="20"/>
              </w:rPr>
              <w:t>PSI</w:t>
            </w:r>
          </w:p>
        </w:tc>
        <w:tc>
          <w:tcPr>
            <w:tcW w:type="dxa" w:w="2160"/>
            <w:shd w:val="clear" w:color="auto" w:fill="1F3A68"/>
          </w:tcPr>
          <w:p>
            <w:r>
              <w:rPr>
                <w:b/>
                <w:color w:val="FFFFFF"/>
                <w:sz w:val="20"/>
              </w:rPr>
              <w:t>Band</w:t>
            </w:r>
          </w:p>
        </w:tc>
      </w:tr>
      <w:tr>
        <w:tc>
          <w:tcPr>
            <w:tcW w:type="dxa" w:w="4320"/>
            <w:vAlign w:val="center"/>
          </w:tcPr>
          <w:p>
            <w:r>
              <w:rPr>
                <w:sz w:val="20"/>
              </w:rPr>
              <w:t>Logistic Regression</w:t>
            </w:r>
          </w:p>
        </w:tc>
        <w:tc>
          <w:tcPr>
            <w:tcW w:type="dxa" w:w="1440"/>
            <w:vAlign w:val="center"/>
          </w:tcPr>
          <w:p>
            <w:r>
              <w:rPr>
                <w:sz w:val="20"/>
              </w:rPr>
              <w:t>0.0370</w:t>
            </w:r>
          </w:p>
        </w:tc>
        <w:tc>
          <w:tcPr>
            <w:tcW w:type="dxa" w:w="2160"/>
            <w:vAlign w:val="center"/>
          </w:tcPr>
          <w:p>
            <w:r>
              <w:rPr>
                <w:sz w:val="20"/>
              </w:rPr>
              <w:t>OK</w:t>
            </w:r>
          </w:p>
        </w:tc>
      </w:tr>
      <w:tr>
        <w:tc>
          <w:tcPr>
            <w:tcW w:type="dxa" w:w="4320"/>
            <w:vAlign w:val="center"/>
          </w:tcPr>
          <w:p>
            <w:r>
              <w:rPr>
                <w:sz w:val="20"/>
              </w:rPr>
              <w:t>EBM</w:t>
            </w:r>
          </w:p>
        </w:tc>
        <w:tc>
          <w:tcPr>
            <w:tcW w:type="dxa" w:w="1440"/>
            <w:vAlign w:val="center"/>
          </w:tcPr>
          <w:p>
            <w:r>
              <w:rPr>
                <w:sz w:val="20"/>
              </w:rPr>
              <w:t>0.0300</w:t>
            </w:r>
          </w:p>
        </w:tc>
        <w:tc>
          <w:tcPr>
            <w:tcW w:type="dxa" w:w="2160"/>
            <w:vAlign w:val="center"/>
          </w:tcPr>
          <w:p>
            <w:r>
              <w:rPr>
                <w:sz w:val="20"/>
              </w:rPr>
              <w:t>OK</w:t>
            </w:r>
          </w:p>
        </w:tc>
      </w:tr>
      <w:tr>
        <w:tc>
          <w:tcPr>
            <w:tcW w:type="dxa" w:w="4320"/>
            <w:vAlign w:val="center"/>
          </w:tcPr>
          <w:p>
            <w:r>
              <w:rPr>
                <w:sz w:val="20"/>
              </w:rPr>
              <w:t>LightGBM</w:t>
            </w:r>
          </w:p>
        </w:tc>
        <w:tc>
          <w:tcPr>
            <w:tcW w:type="dxa" w:w="1440"/>
            <w:vAlign w:val="center"/>
          </w:tcPr>
          <w:p>
            <w:r>
              <w:rPr>
                <w:sz w:val="20"/>
              </w:rPr>
              <w:t>0.0235</w:t>
            </w:r>
          </w:p>
        </w:tc>
        <w:tc>
          <w:tcPr>
            <w:tcW w:type="dxa" w:w="2160"/>
            <w:vAlign w:val="center"/>
          </w:tcPr>
          <w:p>
            <w:r>
              <w:rPr>
                <w:sz w:val="20"/>
              </w:rPr>
              <w:t>OK</w:t>
            </w:r>
          </w:p>
        </w:tc>
      </w:tr>
      <w:tr>
        <w:tc>
          <w:tcPr>
            <w:tcW w:type="dxa" w:w="4320"/>
            <w:vAlign w:val="center"/>
          </w:tcPr>
          <w:p>
            <w:r>
              <w:rPr>
                <w:sz w:val="20"/>
              </w:rPr>
              <w:t>XGBoost</w:t>
            </w:r>
          </w:p>
        </w:tc>
        <w:tc>
          <w:tcPr>
            <w:tcW w:type="dxa" w:w="1440"/>
            <w:vAlign w:val="center"/>
          </w:tcPr>
          <w:p>
            <w:r>
              <w:rPr>
                <w:sz w:val="20"/>
              </w:rPr>
              <w:t>0.1042</w:t>
            </w:r>
          </w:p>
        </w:tc>
        <w:tc>
          <w:tcPr>
            <w:tcW w:type="dxa" w:w="2160"/>
            <w:vAlign w:val="center"/>
          </w:tcPr>
          <w:p>
            <w:r>
              <w:rPr>
                <w:sz w:val="20"/>
              </w:rPr>
              <w:t>MODERATE</w:t>
            </w:r>
          </w:p>
        </w:tc>
      </w:tr>
      <w:tr>
        <w:tc>
          <w:tcPr>
            <w:tcW w:type="dxa" w:w="4320"/>
            <w:vAlign w:val="center"/>
          </w:tcPr>
          <w:p>
            <w:r>
              <w:rPr>
                <w:sz w:val="20"/>
              </w:rPr>
              <w:t>CatBoost</w:t>
            </w:r>
          </w:p>
        </w:tc>
        <w:tc>
          <w:tcPr>
            <w:tcW w:type="dxa" w:w="1440"/>
            <w:vAlign w:val="center"/>
          </w:tcPr>
          <w:p>
            <w:r>
              <w:rPr>
                <w:sz w:val="20"/>
              </w:rPr>
              <w:t>0.7136</w:t>
            </w:r>
          </w:p>
        </w:tc>
        <w:tc>
          <w:tcPr>
            <w:tcW w:type="dxa" w:w="2160"/>
            <w:vAlign w:val="center"/>
          </w:tcPr>
          <w:p>
            <w:r>
              <w:rPr>
                <w:sz w:val="20"/>
              </w:rPr>
              <w:t>HIGH DRIFT</w:t>
            </w:r>
          </w:p>
        </w:tc>
      </w:tr>
    </w:tbl>
    <w:p>
      <w:r>
        <w:rPr>
          <w:b/>
          <w:i w:val="0"/>
          <w:sz w:val="24"/>
        </w:rPr>
        <w:t>Characteristic Stability Index (per feature)</w:t>
      </w:r>
    </w:p>
    <w:p>
      <w:r>
        <w:rPr>
          <w:b w:val="0"/>
          <w:i w:val="0"/>
          <w:sz w:val="22"/>
        </w:rPr>
        <w:t>91 features assessed: 91 stable (CSI &lt; 0.10), 0 moderate (0.10 ≤ CSI &lt; 0.25), 0 high drift (CSI ≥ 0.25).</w:t>
      </w:r>
    </w:p>
    <w:p>
      <w:r>
        <w:rPr>
          <w:b/>
          <w:i w:val="0"/>
          <w:sz w:val="24"/>
        </w:rPr>
        <w:t>Concept drift report</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234"/>
        <w:gridCol w:w="1234"/>
        <w:gridCol w:w="1234"/>
        <w:gridCol w:w="1234"/>
        <w:gridCol w:w="1234"/>
        <w:gridCol w:w="1234"/>
        <w:gridCol w:w="1234"/>
      </w:tblGrid>
      <w:tr>
        <w:tc>
          <w:tcPr>
            <w:tcW w:type="dxa" w:w="3168"/>
            <w:shd w:val="clear" w:color="auto" w:fill="1F3A68"/>
          </w:tcPr>
          <w:p>
            <w:r>
              <w:rPr>
                <w:b/>
                <w:color w:val="FFFFFF"/>
                <w:sz w:val="20"/>
              </w:rPr>
              <w:t>Model</w:t>
            </w:r>
          </w:p>
        </w:tc>
        <w:tc>
          <w:tcPr>
            <w:tcW w:type="dxa" w:w="864"/>
            <w:shd w:val="clear" w:color="auto" w:fill="1F3A68"/>
          </w:tcPr>
          <w:p>
            <w:r>
              <w:rPr>
                <w:b/>
                <w:color w:val="FFFFFF"/>
                <w:sz w:val="20"/>
              </w:rPr>
              <w:t>Folds</w:t>
            </w:r>
          </w:p>
        </w:tc>
        <w:tc>
          <w:tcPr>
            <w:tcW w:type="dxa" w:w="1008"/>
            <w:shd w:val="clear" w:color="auto" w:fill="1F3A68"/>
          </w:tcPr>
          <w:p>
            <w:r>
              <w:rPr>
                <w:b/>
                <w:color w:val="FFFFFF"/>
                <w:sz w:val="20"/>
              </w:rPr>
              <w:t>First</w:t>
            </w:r>
          </w:p>
        </w:tc>
        <w:tc>
          <w:tcPr>
            <w:tcW w:type="dxa" w:w="1008"/>
            <w:shd w:val="clear" w:color="auto" w:fill="1F3A68"/>
          </w:tcPr>
          <w:p>
            <w:r>
              <w:rPr>
                <w:b/>
                <w:color w:val="FFFFFF"/>
                <w:sz w:val="20"/>
              </w:rPr>
              <w:t>Last</w:t>
            </w:r>
          </w:p>
        </w:tc>
        <w:tc>
          <w:tcPr>
            <w:tcW w:type="dxa" w:w="1440"/>
            <w:shd w:val="clear" w:color="auto" w:fill="1F3A68"/>
          </w:tcPr>
          <w:p>
            <w:r>
              <w:rPr>
                <w:b/>
                <w:color w:val="FFFFFF"/>
                <w:sz w:val="20"/>
              </w:rPr>
              <w:t>Slope/fold</w:t>
            </w:r>
          </w:p>
        </w:tc>
        <w:tc>
          <w:tcPr>
            <w:tcW w:type="dxa" w:w="1440"/>
            <w:shd w:val="clear" w:color="auto" w:fill="1F3A68"/>
          </w:tcPr>
          <w:p>
            <w:r>
              <w:rPr>
                <w:b/>
                <w:color w:val="FFFFFF"/>
                <w:sz w:val="20"/>
              </w:rPr>
              <w:t>First→last</w:t>
            </w:r>
          </w:p>
        </w:tc>
        <w:tc>
          <w:tcPr>
            <w:tcW w:type="dxa" w:w="1008"/>
            <w:shd w:val="clear" w:color="auto" w:fill="1F3A68"/>
          </w:tcPr>
          <w:p>
            <w:r>
              <w:rPr>
                <w:b/>
                <w:color w:val="FFFFFF"/>
                <w:sz w:val="20"/>
              </w:rPr>
              <w:t>Flag</w:t>
            </w:r>
          </w:p>
        </w:tc>
      </w:tr>
      <w:tr>
        <w:tc>
          <w:tcPr>
            <w:tcW w:type="dxa" w:w="3168"/>
            <w:vAlign w:val="center"/>
          </w:tcPr>
          <w:p>
            <w:r>
              <w:rPr>
                <w:sz w:val="20"/>
              </w:rPr>
              <w:t>Logistic Regression</w:t>
            </w:r>
          </w:p>
        </w:tc>
        <w:tc>
          <w:tcPr>
            <w:tcW w:type="dxa" w:w="864"/>
            <w:vAlign w:val="center"/>
          </w:tcPr>
          <w:p>
            <w:r>
              <w:rPr>
                <w:sz w:val="20"/>
              </w:rPr>
              <w:t>4</w:t>
            </w:r>
          </w:p>
        </w:tc>
        <w:tc>
          <w:tcPr>
            <w:tcW w:type="dxa" w:w="1008"/>
            <w:vAlign w:val="center"/>
          </w:tcPr>
          <w:p>
            <w:r>
              <w:rPr>
                <w:sz w:val="20"/>
              </w:rPr>
              <w:t>0.0592</w:t>
            </w:r>
          </w:p>
        </w:tc>
        <w:tc>
          <w:tcPr>
            <w:tcW w:type="dxa" w:w="1008"/>
            <w:vAlign w:val="center"/>
          </w:tcPr>
          <w:p>
            <w:r>
              <w:rPr>
                <w:sz w:val="20"/>
              </w:rPr>
              <w:t>0.0517</w:t>
            </w:r>
          </w:p>
        </w:tc>
        <w:tc>
          <w:tcPr>
            <w:tcW w:type="dxa" w:w="1440"/>
            <w:vAlign w:val="center"/>
          </w:tcPr>
          <w:p>
            <w:r>
              <w:rPr>
                <w:sz w:val="20"/>
              </w:rPr>
              <w:t>-0.00149</w:t>
            </w:r>
          </w:p>
        </w:tc>
        <w:tc>
          <w:tcPr>
            <w:tcW w:type="dxa" w:w="1440"/>
            <w:vAlign w:val="center"/>
          </w:tcPr>
          <w:p>
            <w:r>
              <w:rPr>
                <w:sz w:val="20"/>
              </w:rPr>
              <w:t>-0.0075</w:t>
            </w:r>
          </w:p>
        </w:tc>
        <w:tc>
          <w:tcPr>
            <w:tcW w:type="dxa" w:w="1008"/>
            <w:vAlign w:val="center"/>
          </w:tcPr>
          <w:p>
            <w:r>
              <w:rPr>
                <w:sz w:val="20"/>
              </w:rPr>
              <w:t>NO</w:t>
            </w:r>
          </w:p>
        </w:tc>
      </w:tr>
      <w:tr>
        <w:tc>
          <w:tcPr>
            <w:tcW w:type="dxa" w:w="3168"/>
            <w:vAlign w:val="center"/>
          </w:tcPr>
          <w:p>
            <w:r>
              <w:rPr>
                <w:sz w:val="20"/>
              </w:rPr>
              <w:t>EBM</w:t>
            </w:r>
          </w:p>
        </w:tc>
        <w:tc>
          <w:tcPr>
            <w:tcW w:type="dxa" w:w="864"/>
            <w:vAlign w:val="center"/>
          </w:tcPr>
          <w:p>
            <w:r>
              <w:rPr>
                <w:sz w:val="20"/>
              </w:rPr>
              <w:t>4</w:t>
            </w:r>
          </w:p>
        </w:tc>
        <w:tc>
          <w:tcPr>
            <w:tcW w:type="dxa" w:w="1008"/>
            <w:vAlign w:val="center"/>
          </w:tcPr>
          <w:p>
            <w:r>
              <w:rPr>
                <w:sz w:val="20"/>
              </w:rPr>
              <w:t>0.0589</w:t>
            </w:r>
          </w:p>
        </w:tc>
        <w:tc>
          <w:tcPr>
            <w:tcW w:type="dxa" w:w="1008"/>
            <w:vAlign w:val="center"/>
          </w:tcPr>
          <w:p>
            <w:r>
              <w:rPr>
                <w:sz w:val="20"/>
              </w:rPr>
              <w:t>0.0529</w:t>
            </w:r>
          </w:p>
        </w:tc>
        <w:tc>
          <w:tcPr>
            <w:tcW w:type="dxa" w:w="1440"/>
            <w:vAlign w:val="center"/>
          </w:tcPr>
          <w:p>
            <w:r>
              <w:rPr>
                <w:sz w:val="20"/>
              </w:rPr>
              <w:t>-0.00110</w:t>
            </w:r>
          </w:p>
        </w:tc>
        <w:tc>
          <w:tcPr>
            <w:tcW w:type="dxa" w:w="1440"/>
            <w:vAlign w:val="center"/>
          </w:tcPr>
          <w:p>
            <w:r>
              <w:rPr>
                <w:sz w:val="20"/>
              </w:rPr>
              <w:t>-0.0060</w:t>
            </w:r>
          </w:p>
        </w:tc>
        <w:tc>
          <w:tcPr>
            <w:tcW w:type="dxa" w:w="1008"/>
            <w:vAlign w:val="center"/>
          </w:tcPr>
          <w:p>
            <w:r>
              <w:rPr>
                <w:sz w:val="20"/>
              </w:rPr>
              <w:t>NO</w:t>
            </w:r>
          </w:p>
        </w:tc>
      </w:tr>
      <w:tr>
        <w:tc>
          <w:tcPr>
            <w:tcW w:type="dxa" w:w="3168"/>
            <w:vAlign w:val="center"/>
          </w:tcPr>
          <w:p>
            <w:r>
              <w:rPr>
                <w:sz w:val="20"/>
              </w:rPr>
              <w:t>LightGBM</w:t>
            </w:r>
          </w:p>
        </w:tc>
        <w:tc>
          <w:tcPr>
            <w:tcW w:type="dxa" w:w="864"/>
            <w:vAlign w:val="center"/>
          </w:tcPr>
          <w:p>
            <w:r>
              <w:rPr>
                <w:sz w:val="20"/>
              </w:rPr>
              <w:t>4</w:t>
            </w:r>
          </w:p>
        </w:tc>
        <w:tc>
          <w:tcPr>
            <w:tcW w:type="dxa" w:w="1008"/>
            <w:vAlign w:val="center"/>
          </w:tcPr>
          <w:p>
            <w:r>
              <w:rPr>
                <w:sz w:val="20"/>
              </w:rPr>
              <w:t>0.0511</w:t>
            </w:r>
          </w:p>
        </w:tc>
        <w:tc>
          <w:tcPr>
            <w:tcW w:type="dxa" w:w="1008"/>
            <w:vAlign w:val="center"/>
          </w:tcPr>
          <w:p>
            <w:r>
              <w:rPr>
                <w:sz w:val="20"/>
              </w:rPr>
              <w:t>0.0482</w:t>
            </w:r>
          </w:p>
        </w:tc>
        <w:tc>
          <w:tcPr>
            <w:tcW w:type="dxa" w:w="1440"/>
            <w:vAlign w:val="center"/>
          </w:tcPr>
          <w:p>
            <w:r>
              <w:rPr>
                <w:sz w:val="20"/>
              </w:rPr>
              <w:t>-0.00039</w:t>
            </w:r>
          </w:p>
        </w:tc>
        <w:tc>
          <w:tcPr>
            <w:tcW w:type="dxa" w:w="1440"/>
            <w:vAlign w:val="center"/>
          </w:tcPr>
          <w:p>
            <w:r>
              <w:rPr>
                <w:sz w:val="20"/>
              </w:rPr>
              <w:t>-0.0028</w:t>
            </w:r>
          </w:p>
        </w:tc>
        <w:tc>
          <w:tcPr>
            <w:tcW w:type="dxa" w:w="1008"/>
            <w:vAlign w:val="center"/>
          </w:tcPr>
          <w:p>
            <w:r>
              <w:rPr>
                <w:sz w:val="20"/>
              </w:rPr>
              <w:t>NO</w:t>
            </w:r>
          </w:p>
        </w:tc>
      </w:tr>
      <w:tr>
        <w:tc>
          <w:tcPr>
            <w:tcW w:type="dxa" w:w="3168"/>
            <w:vAlign w:val="center"/>
          </w:tcPr>
          <w:p>
            <w:r>
              <w:rPr>
                <w:sz w:val="20"/>
              </w:rPr>
              <w:t>XGBoost</w:t>
            </w:r>
          </w:p>
        </w:tc>
        <w:tc>
          <w:tcPr>
            <w:tcW w:type="dxa" w:w="864"/>
            <w:vAlign w:val="center"/>
          </w:tcPr>
          <w:p>
            <w:r>
              <w:rPr>
                <w:sz w:val="20"/>
              </w:rPr>
              <w:t>4</w:t>
            </w:r>
          </w:p>
        </w:tc>
        <w:tc>
          <w:tcPr>
            <w:tcW w:type="dxa" w:w="1008"/>
            <w:vAlign w:val="center"/>
          </w:tcPr>
          <w:p>
            <w:r>
              <w:rPr>
                <w:sz w:val="20"/>
              </w:rPr>
              <w:t>0.0565</w:t>
            </w:r>
          </w:p>
        </w:tc>
        <w:tc>
          <w:tcPr>
            <w:tcW w:type="dxa" w:w="1008"/>
            <w:vAlign w:val="center"/>
          </w:tcPr>
          <w:p>
            <w:r>
              <w:rPr>
                <w:sz w:val="20"/>
              </w:rPr>
              <w:t>0.0502</w:t>
            </w:r>
          </w:p>
        </w:tc>
        <w:tc>
          <w:tcPr>
            <w:tcW w:type="dxa" w:w="1440"/>
            <w:vAlign w:val="center"/>
          </w:tcPr>
          <w:p>
            <w:r>
              <w:rPr>
                <w:sz w:val="20"/>
              </w:rPr>
              <w:t>+0.00018</w:t>
            </w:r>
          </w:p>
        </w:tc>
        <w:tc>
          <w:tcPr>
            <w:tcW w:type="dxa" w:w="1440"/>
            <w:vAlign w:val="center"/>
          </w:tcPr>
          <w:p>
            <w:r>
              <w:rPr>
                <w:sz w:val="20"/>
              </w:rPr>
              <w:t>-0.0063</w:t>
            </w:r>
          </w:p>
        </w:tc>
        <w:tc>
          <w:tcPr>
            <w:tcW w:type="dxa" w:w="1008"/>
            <w:vAlign w:val="center"/>
          </w:tcPr>
          <w:p>
            <w:r>
              <w:rPr>
                <w:sz w:val="20"/>
              </w:rPr>
              <w:t>NO</w:t>
            </w:r>
          </w:p>
        </w:tc>
      </w:tr>
      <w:tr>
        <w:tc>
          <w:tcPr>
            <w:tcW w:type="dxa" w:w="3168"/>
            <w:vAlign w:val="center"/>
          </w:tcPr>
          <w:p>
            <w:r>
              <w:rPr>
                <w:sz w:val="20"/>
              </w:rPr>
              <w:t>CatBoost</w:t>
            </w:r>
          </w:p>
        </w:tc>
        <w:tc>
          <w:tcPr>
            <w:tcW w:type="dxa" w:w="864"/>
            <w:vAlign w:val="center"/>
          </w:tcPr>
          <w:p>
            <w:r>
              <w:rPr>
                <w:sz w:val="20"/>
              </w:rPr>
              <w:t>4</w:t>
            </w:r>
          </w:p>
        </w:tc>
        <w:tc>
          <w:tcPr>
            <w:tcW w:type="dxa" w:w="1008"/>
            <w:vAlign w:val="center"/>
          </w:tcPr>
          <w:p>
            <w:r>
              <w:rPr>
                <w:sz w:val="20"/>
              </w:rPr>
              <w:t>0.0508</w:t>
            </w:r>
          </w:p>
        </w:tc>
        <w:tc>
          <w:tcPr>
            <w:tcW w:type="dxa" w:w="1008"/>
            <w:vAlign w:val="center"/>
          </w:tcPr>
          <w:p>
            <w:r>
              <w:rPr>
                <w:sz w:val="20"/>
              </w:rPr>
              <w:t>0.0511</w:t>
            </w:r>
          </w:p>
        </w:tc>
        <w:tc>
          <w:tcPr>
            <w:tcW w:type="dxa" w:w="1440"/>
            <w:vAlign w:val="center"/>
          </w:tcPr>
          <w:p>
            <w:r>
              <w:rPr>
                <w:sz w:val="20"/>
              </w:rPr>
              <w:t>+0.00027</w:t>
            </w:r>
          </w:p>
        </w:tc>
        <w:tc>
          <w:tcPr>
            <w:tcW w:type="dxa" w:w="1440"/>
            <w:vAlign w:val="center"/>
          </w:tcPr>
          <w:p>
            <w:r>
              <w:rPr>
                <w:sz w:val="20"/>
              </w:rPr>
              <w:t>+0.0003</w:t>
            </w:r>
          </w:p>
        </w:tc>
        <w:tc>
          <w:tcPr>
            <w:tcW w:type="dxa" w:w="1008"/>
            <w:vAlign w:val="center"/>
          </w:tcPr>
          <w:p>
            <w:r>
              <w:rPr>
                <w:sz w:val="20"/>
              </w:rPr>
              <w:t>NO</w:t>
            </w:r>
          </w:p>
        </w:tc>
      </w:tr>
    </w:tbl>
    <w:p>
      <w:r>
        <w:rPr>
          <w:b/>
          <w:i w:val="0"/>
          <w:sz w:val="24"/>
        </w:rPr>
        <w:t>Adverse impact analysis by age band (10% rejection threshold)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785"/>
        <w:gridCol w:w="785"/>
        <w:gridCol w:w="785"/>
        <w:gridCol w:w="785"/>
        <w:gridCol w:w="785"/>
        <w:gridCol w:w="785"/>
        <w:gridCol w:w="785"/>
        <w:gridCol w:w="785"/>
        <w:gridCol w:w="785"/>
        <w:gridCol w:w="785"/>
        <w:gridCol w:w="785"/>
      </w:tblGrid>
      <w:tr>
        <w:tc>
          <w:tcPr>
            <w:tcW w:type="dxa" w:w="785"/>
            <w:shd w:val="clear" w:color="auto" w:fill="1F3A68"/>
          </w:tcPr>
          <w:p>
            <w:r>
              <w:rPr>
                <w:b/>
                <w:color w:val="FFFFFF"/>
                <w:sz w:val="20"/>
              </w:rPr>
              <w:t>model</w:t>
            </w:r>
          </w:p>
        </w:tc>
        <w:tc>
          <w:tcPr>
            <w:tcW w:type="dxa" w:w="785"/>
            <w:shd w:val="clear" w:color="auto" w:fill="1F3A68"/>
          </w:tcPr>
          <w:p>
            <w:r>
              <w:rPr>
                <w:b/>
                <w:color w:val="FFFFFF"/>
                <w:sz w:val="20"/>
              </w:rPr>
              <w:t>age_band</w:t>
            </w:r>
          </w:p>
        </w:tc>
        <w:tc>
          <w:tcPr>
            <w:tcW w:type="dxa" w:w="785"/>
            <w:shd w:val="clear" w:color="auto" w:fill="1F3A68"/>
          </w:tcPr>
          <w:p>
            <w:r>
              <w:rPr>
                <w:b/>
                <w:color w:val="FFFFFF"/>
                <w:sz w:val="20"/>
              </w:rPr>
              <w:t>n</w:t>
            </w:r>
          </w:p>
        </w:tc>
        <w:tc>
          <w:tcPr>
            <w:tcW w:type="dxa" w:w="785"/>
            <w:shd w:val="clear" w:color="auto" w:fill="1F3A68"/>
          </w:tcPr>
          <w:p>
            <w:r>
              <w:rPr>
                <w:b/>
                <w:color w:val="FFFFFF"/>
                <w:sz w:val="20"/>
              </w:rPr>
              <w:t>n_observed_outcomes</w:t>
            </w:r>
          </w:p>
        </w:tc>
        <w:tc>
          <w:tcPr>
            <w:tcW w:type="dxa" w:w="785"/>
            <w:shd w:val="clear" w:color="auto" w:fill="1F3A68"/>
          </w:tcPr>
          <w:p>
            <w:r>
              <w:rPr>
                <w:b/>
                <w:color w:val="FFFFFF"/>
                <w:sz w:val="20"/>
              </w:rPr>
              <w:t>n_defaults</w:t>
            </w:r>
          </w:p>
        </w:tc>
        <w:tc>
          <w:tcPr>
            <w:tcW w:type="dxa" w:w="785"/>
            <w:shd w:val="clear" w:color="auto" w:fill="1F3A68"/>
          </w:tcPr>
          <w:p>
            <w:r>
              <w:rPr>
                <w:b/>
                <w:color w:val="FFFFFF"/>
                <w:sz w:val="20"/>
              </w:rPr>
              <w:t>observed_default_rate</w:t>
            </w:r>
          </w:p>
        </w:tc>
        <w:tc>
          <w:tcPr>
            <w:tcW w:type="dxa" w:w="785"/>
            <w:shd w:val="clear" w:color="auto" w:fill="1F3A68"/>
          </w:tcPr>
          <w:p>
            <w:r>
              <w:rPr>
                <w:b/>
                <w:color w:val="FFFFFF"/>
                <w:sz w:val="20"/>
              </w:rPr>
              <w:t>mean_predicted_pd</w:t>
            </w:r>
          </w:p>
        </w:tc>
        <w:tc>
          <w:tcPr>
            <w:tcW w:type="dxa" w:w="785"/>
            <w:shd w:val="clear" w:color="auto" w:fill="1F3A68"/>
          </w:tcPr>
          <w:p>
            <w:r>
              <w:rPr>
                <w:b/>
                <w:color w:val="FFFFFF"/>
                <w:sz w:val="20"/>
              </w:rPr>
              <w:t>approval_rate_at_10pct_reject</w:t>
            </w:r>
          </w:p>
        </w:tc>
        <w:tc>
          <w:tcPr>
            <w:tcW w:type="dxa" w:w="785"/>
            <w:shd w:val="clear" w:color="auto" w:fill="1F3A68"/>
          </w:tcPr>
          <w:p>
            <w:r>
              <w:rPr>
                <w:b/>
                <w:color w:val="FFFFFF"/>
                <w:sz w:val="20"/>
              </w:rPr>
              <w:t>adverse_impact_ratio</w:t>
            </w:r>
          </w:p>
        </w:tc>
        <w:tc>
          <w:tcPr>
            <w:tcW w:type="dxa" w:w="785"/>
            <w:shd w:val="clear" w:color="auto" w:fill="1F3A68"/>
          </w:tcPr>
          <w:p>
            <w:r>
              <w:rPr>
                <w:b/>
                <w:color w:val="FFFFFF"/>
                <w:sz w:val="20"/>
              </w:rPr>
              <w:t>air_flag</w:t>
            </w:r>
          </w:p>
        </w:tc>
        <w:tc>
          <w:tcPr>
            <w:tcW w:type="dxa" w:w="785"/>
            <w:shd w:val="clear" w:color="auto" w:fill="1F3A68"/>
          </w:tcPr>
          <w:p>
            <w:r>
              <w:rPr>
                <w:b/>
                <w:color w:val="FFFFFF"/>
                <w:sz w:val="20"/>
              </w:rPr>
              <w:t>analysis_population</w:t>
            </w:r>
          </w:p>
        </w:tc>
      </w:tr>
      <w:tr>
        <w:tc>
          <w:tcPr>
            <w:tcW w:type="dxa" w:w="785"/>
            <w:vAlign w:val="center"/>
          </w:tcPr>
          <w:p>
            <w:r>
              <w:rPr>
                <w:sz w:val="20"/>
              </w:rPr>
              <w:t>Logistic Regression</w:t>
            </w:r>
          </w:p>
        </w:tc>
        <w:tc>
          <w:tcPr>
            <w:tcW w:type="dxa" w:w="785"/>
            <w:vAlign w:val="center"/>
          </w:tcPr>
          <w:p>
            <w:r>
              <w:rPr>
                <w:sz w:val="20"/>
              </w:rPr>
              <w:t>18-25</w:t>
            </w:r>
          </w:p>
        </w:tc>
        <w:tc>
          <w:tcPr>
            <w:tcW w:type="dxa" w:w="785"/>
            <w:vAlign w:val="center"/>
          </w:tcPr>
          <w:p>
            <w:r>
              <w:rPr>
                <w:sz w:val="20"/>
              </w:rPr>
              <w:t>170</w:t>
            </w:r>
          </w:p>
        </w:tc>
        <w:tc>
          <w:tcPr>
            <w:tcW w:type="dxa" w:w="785"/>
            <w:vAlign w:val="center"/>
          </w:tcPr>
          <w:p>
            <w:r>
              <w:rPr>
                <w:sz w:val="20"/>
              </w:rPr>
              <w:t>170</w:t>
            </w:r>
          </w:p>
        </w:tc>
        <w:tc>
          <w:tcPr>
            <w:tcW w:type="dxa" w:w="785"/>
            <w:vAlign w:val="center"/>
          </w:tcPr>
          <w:p>
            <w:r>
              <w:rPr>
                <w:sz w:val="20"/>
              </w:rPr>
              <w:t>9</w:t>
            </w:r>
          </w:p>
        </w:tc>
        <w:tc>
          <w:tcPr>
            <w:tcW w:type="dxa" w:w="785"/>
            <w:vAlign w:val="center"/>
          </w:tcPr>
          <w:p>
            <w:r>
              <w:rPr>
                <w:sz w:val="20"/>
              </w:rPr>
              <w:t>0.052941</w:t>
            </w:r>
          </w:p>
        </w:tc>
        <w:tc>
          <w:tcPr>
            <w:tcW w:type="dxa" w:w="785"/>
            <w:vAlign w:val="center"/>
          </w:tcPr>
          <w:p>
            <w:r>
              <w:rPr>
                <w:sz w:val="20"/>
              </w:rPr>
              <w:t>0.604607</w:t>
            </w:r>
          </w:p>
        </w:tc>
        <w:tc>
          <w:tcPr>
            <w:tcW w:type="dxa" w:w="785"/>
            <w:vAlign w:val="center"/>
          </w:tcPr>
          <w:p>
            <w:r>
              <w:rPr>
                <w:sz w:val="20"/>
              </w:rPr>
              <w:t>0.723529</w:t>
            </w:r>
          </w:p>
        </w:tc>
        <w:tc>
          <w:tcPr>
            <w:tcW w:type="dxa" w:w="785"/>
            <w:vAlign w:val="center"/>
          </w:tcPr>
          <w:p>
            <w:r>
              <w:rPr>
                <w:sz w:val="20"/>
              </w:rPr>
              <w:t>0.760461</w:t>
            </w:r>
          </w:p>
        </w:tc>
        <w:tc>
          <w:tcPr>
            <w:tcW w:type="dxa" w:w="785"/>
            <w:vAlign w:val="center"/>
          </w:tcPr>
          <w:p>
            <w:r>
              <w:rPr>
                <w:sz w:val="20"/>
              </w:rPr>
              <w:t>FAIL</w:t>
            </w:r>
          </w:p>
        </w:tc>
        <w:tc>
          <w:tcPr>
            <w:tcW w:type="dxa" w:w="785"/>
            <w:vAlign w:val="center"/>
          </w:tcPr>
          <w:p>
            <w:r>
              <w:rPr>
                <w:sz w:val="20"/>
              </w:rPr>
              <w:t>booked_holdout</w:t>
            </w:r>
          </w:p>
        </w:tc>
      </w:tr>
      <w:tr>
        <w:tc>
          <w:tcPr>
            <w:tcW w:type="dxa" w:w="785"/>
            <w:vAlign w:val="center"/>
          </w:tcPr>
          <w:p>
            <w:r>
              <w:rPr>
                <w:sz w:val="20"/>
              </w:rPr>
              <w:t>Logistic Regression</w:t>
            </w:r>
          </w:p>
        </w:tc>
        <w:tc>
          <w:tcPr>
            <w:tcW w:type="dxa" w:w="785"/>
            <w:vAlign w:val="center"/>
          </w:tcPr>
          <w:p>
            <w:r>
              <w:rPr>
                <w:sz w:val="20"/>
              </w:rPr>
              <w:t>25-35</w:t>
            </w:r>
          </w:p>
        </w:tc>
        <w:tc>
          <w:tcPr>
            <w:tcW w:type="dxa" w:w="785"/>
            <w:vAlign w:val="center"/>
          </w:tcPr>
          <w:p>
            <w:r>
              <w:rPr>
                <w:sz w:val="20"/>
              </w:rPr>
              <w:t>1258</w:t>
            </w:r>
          </w:p>
        </w:tc>
        <w:tc>
          <w:tcPr>
            <w:tcW w:type="dxa" w:w="785"/>
            <w:vAlign w:val="center"/>
          </w:tcPr>
          <w:p>
            <w:r>
              <w:rPr>
                <w:sz w:val="20"/>
              </w:rPr>
              <w:t>1258</w:t>
            </w:r>
          </w:p>
        </w:tc>
        <w:tc>
          <w:tcPr>
            <w:tcW w:type="dxa" w:w="785"/>
            <w:vAlign w:val="center"/>
          </w:tcPr>
          <w:p>
            <w:r>
              <w:rPr>
                <w:sz w:val="20"/>
              </w:rPr>
              <w:t>66</w:t>
            </w:r>
          </w:p>
        </w:tc>
        <w:tc>
          <w:tcPr>
            <w:tcW w:type="dxa" w:w="785"/>
            <w:vAlign w:val="center"/>
          </w:tcPr>
          <w:p>
            <w:r>
              <w:rPr>
                <w:sz w:val="20"/>
              </w:rPr>
              <w:t>0.052464</w:t>
            </w:r>
          </w:p>
        </w:tc>
        <w:tc>
          <w:tcPr>
            <w:tcW w:type="dxa" w:w="785"/>
            <w:vAlign w:val="center"/>
          </w:tcPr>
          <w:p>
            <w:r>
              <w:rPr>
                <w:sz w:val="20"/>
              </w:rPr>
              <w:t>0.524829</w:t>
            </w:r>
          </w:p>
        </w:tc>
        <w:tc>
          <w:tcPr>
            <w:tcW w:type="dxa" w:w="785"/>
            <w:vAlign w:val="center"/>
          </w:tcPr>
          <w:p>
            <w:r>
              <w:rPr>
                <w:sz w:val="20"/>
              </w:rPr>
              <w:t>0.809221</w:t>
            </w:r>
          </w:p>
        </w:tc>
        <w:tc>
          <w:tcPr>
            <w:tcW w:type="dxa" w:w="785"/>
            <w:vAlign w:val="center"/>
          </w:tcPr>
          <w:p>
            <w:r>
              <w:rPr>
                <w:sz w:val="20"/>
              </w:rPr>
              <w:t>0.850527</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Logistic Regression</w:t>
            </w:r>
          </w:p>
        </w:tc>
        <w:tc>
          <w:tcPr>
            <w:tcW w:type="dxa" w:w="785"/>
            <w:vAlign w:val="center"/>
          </w:tcPr>
          <w:p>
            <w:r>
              <w:rPr>
                <w:sz w:val="20"/>
              </w:rPr>
              <w:t>35-45</w:t>
            </w:r>
          </w:p>
        </w:tc>
        <w:tc>
          <w:tcPr>
            <w:tcW w:type="dxa" w:w="785"/>
            <w:vAlign w:val="center"/>
          </w:tcPr>
          <w:p>
            <w:r>
              <w:rPr>
                <w:sz w:val="20"/>
              </w:rPr>
              <w:t>1912</w:t>
            </w:r>
          </w:p>
        </w:tc>
        <w:tc>
          <w:tcPr>
            <w:tcW w:type="dxa" w:w="785"/>
            <w:vAlign w:val="center"/>
          </w:tcPr>
          <w:p>
            <w:r>
              <w:rPr>
                <w:sz w:val="20"/>
              </w:rPr>
              <w:t>1912</w:t>
            </w:r>
          </w:p>
        </w:tc>
        <w:tc>
          <w:tcPr>
            <w:tcW w:type="dxa" w:w="785"/>
            <w:vAlign w:val="center"/>
          </w:tcPr>
          <w:p>
            <w:r>
              <w:rPr>
                <w:sz w:val="20"/>
              </w:rPr>
              <w:t>74</w:t>
            </w:r>
          </w:p>
        </w:tc>
        <w:tc>
          <w:tcPr>
            <w:tcW w:type="dxa" w:w="785"/>
            <w:vAlign w:val="center"/>
          </w:tcPr>
          <w:p>
            <w:r>
              <w:rPr>
                <w:sz w:val="20"/>
              </w:rPr>
              <w:t>0.038703</w:t>
            </w:r>
          </w:p>
        </w:tc>
        <w:tc>
          <w:tcPr>
            <w:tcW w:type="dxa" w:w="785"/>
            <w:vAlign w:val="center"/>
          </w:tcPr>
          <w:p>
            <w:r>
              <w:rPr>
                <w:sz w:val="20"/>
              </w:rPr>
              <w:t>0.449746</w:t>
            </w:r>
          </w:p>
        </w:tc>
        <w:tc>
          <w:tcPr>
            <w:tcW w:type="dxa" w:w="785"/>
            <w:vAlign w:val="center"/>
          </w:tcPr>
          <w:p>
            <w:r>
              <w:rPr>
                <w:sz w:val="20"/>
              </w:rPr>
              <w:t>0.909519</w:t>
            </w:r>
          </w:p>
        </w:tc>
        <w:tc>
          <w:tcPr>
            <w:tcW w:type="dxa" w:w="785"/>
            <w:vAlign w:val="center"/>
          </w:tcPr>
          <w:p>
            <w:r>
              <w:rPr>
                <w:sz w:val="20"/>
              </w:rPr>
              <w:t>0.955944</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Logistic Regression</w:t>
            </w:r>
          </w:p>
        </w:tc>
        <w:tc>
          <w:tcPr>
            <w:tcW w:type="dxa" w:w="785"/>
            <w:vAlign w:val="center"/>
          </w:tcPr>
          <w:p>
            <w:r>
              <w:rPr>
                <w:sz w:val="20"/>
              </w:rPr>
              <w:t>45-55</w:t>
            </w:r>
          </w:p>
        </w:tc>
        <w:tc>
          <w:tcPr>
            <w:tcW w:type="dxa" w:w="785"/>
            <w:vAlign w:val="center"/>
          </w:tcPr>
          <w:p>
            <w:r>
              <w:rPr>
                <w:sz w:val="20"/>
              </w:rPr>
              <w:t>2075</w:t>
            </w:r>
          </w:p>
        </w:tc>
        <w:tc>
          <w:tcPr>
            <w:tcW w:type="dxa" w:w="785"/>
            <w:vAlign w:val="center"/>
          </w:tcPr>
          <w:p>
            <w:r>
              <w:rPr>
                <w:sz w:val="20"/>
              </w:rPr>
              <w:t>2075</w:t>
            </w:r>
          </w:p>
        </w:tc>
        <w:tc>
          <w:tcPr>
            <w:tcW w:type="dxa" w:w="785"/>
            <w:vAlign w:val="center"/>
          </w:tcPr>
          <w:p>
            <w:r>
              <w:rPr>
                <w:sz w:val="20"/>
              </w:rPr>
              <w:t>80</w:t>
            </w:r>
          </w:p>
        </w:tc>
        <w:tc>
          <w:tcPr>
            <w:tcW w:type="dxa" w:w="785"/>
            <w:vAlign w:val="center"/>
          </w:tcPr>
          <w:p>
            <w:r>
              <w:rPr>
                <w:sz w:val="20"/>
              </w:rPr>
              <w:t>0.038554</w:t>
            </w:r>
          </w:p>
        </w:tc>
        <w:tc>
          <w:tcPr>
            <w:tcW w:type="dxa" w:w="785"/>
            <w:vAlign w:val="center"/>
          </w:tcPr>
          <w:p>
            <w:r>
              <w:rPr>
                <w:sz w:val="20"/>
              </w:rPr>
              <w:t>0.418151</w:t>
            </w:r>
          </w:p>
        </w:tc>
        <w:tc>
          <w:tcPr>
            <w:tcW w:type="dxa" w:w="785"/>
            <w:vAlign w:val="center"/>
          </w:tcPr>
          <w:p>
            <w:r>
              <w:rPr>
                <w:sz w:val="20"/>
              </w:rPr>
              <w:t>0.926265</w:t>
            </w:r>
          </w:p>
        </w:tc>
        <w:tc>
          <w:tcPr>
            <w:tcW w:type="dxa" w:w="785"/>
            <w:vAlign w:val="center"/>
          </w:tcPr>
          <w:p>
            <w:r>
              <w:rPr>
                <w:sz w:val="20"/>
              </w:rPr>
              <w:t>0.973545</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Logistic Regression</w:t>
            </w:r>
          </w:p>
        </w:tc>
        <w:tc>
          <w:tcPr>
            <w:tcW w:type="dxa" w:w="785"/>
            <w:vAlign w:val="center"/>
          </w:tcPr>
          <w:p>
            <w:r>
              <w:rPr>
                <w:sz w:val="20"/>
              </w:rPr>
              <w:t>55-65</w:t>
            </w:r>
          </w:p>
        </w:tc>
        <w:tc>
          <w:tcPr>
            <w:tcW w:type="dxa" w:w="785"/>
            <w:vAlign w:val="center"/>
          </w:tcPr>
          <w:p>
            <w:r>
              <w:rPr>
                <w:sz w:val="20"/>
              </w:rPr>
              <w:t>967</w:t>
            </w:r>
          </w:p>
        </w:tc>
        <w:tc>
          <w:tcPr>
            <w:tcW w:type="dxa" w:w="785"/>
            <w:vAlign w:val="center"/>
          </w:tcPr>
          <w:p>
            <w:r>
              <w:rPr>
                <w:sz w:val="20"/>
              </w:rPr>
              <w:t>967</w:t>
            </w:r>
          </w:p>
        </w:tc>
        <w:tc>
          <w:tcPr>
            <w:tcW w:type="dxa" w:w="785"/>
            <w:vAlign w:val="center"/>
          </w:tcPr>
          <w:p>
            <w:r>
              <w:rPr>
                <w:sz w:val="20"/>
              </w:rPr>
              <w:t>22</w:t>
            </w:r>
          </w:p>
        </w:tc>
        <w:tc>
          <w:tcPr>
            <w:tcW w:type="dxa" w:w="785"/>
            <w:vAlign w:val="center"/>
          </w:tcPr>
          <w:p>
            <w:r>
              <w:rPr>
                <w:sz w:val="20"/>
              </w:rPr>
              <w:t>0.022751</w:t>
            </w:r>
          </w:p>
        </w:tc>
        <w:tc>
          <w:tcPr>
            <w:tcW w:type="dxa" w:w="785"/>
            <w:vAlign w:val="center"/>
          </w:tcPr>
          <w:p>
            <w:r>
              <w:rPr>
                <w:sz w:val="20"/>
              </w:rPr>
              <w:t>0.396485</w:t>
            </w:r>
          </w:p>
        </w:tc>
        <w:tc>
          <w:tcPr>
            <w:tcW w:type="dxa" w:w="785"/>
            <w:vAlign w:val="center"/>
          </w:tcPr>
          <w:p>
            <w:r>
              <w:rPr>
                <w:sz w:val="20"/>
              </w:rPr>
              <w:t>0.948294</w:t>
            </w:r>
          </w:p>
        </w:tc>
        <w:tc>
          <w:tcPr>
            <w:tcW w:type="dxa" w:w="785"/>
            <w:vAlign w:val="center"/>
          </w:tcPr>
          <w:p>
            <w:r>
              <w:rPr>
                <w:sz w:val="20"/>
              </w:rPr>
              <w:t>0.996698</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Logistic Regression</w:t>
            </w:r>
          </w:p>
        </w:tc>
        <w:tc>
          <w:tcPr>
            <w:tcW w:type="dxa" w:w="785"/>
            <w:vAlign w:val="center"/>
          </w:tcPr>
          <w:p>
            <w:r>
              <w:rPr>
                <w:sz w:val="20"/>
              </w:rPr>
              <w:t>65-100</w:t>
            </w:r>
          </w:p>
        </w:tc>
        <w:tc>
          <w:tcPr>
            <w:tcW w:type="dxa" w:w="785"/>
            <w:vAlign w:val="center"/>
          </w:tcPr>
          <w:p>
            <w:r>
              <w:rPr>
                <w:sz w:val="20"/>
              </w:rPr>
              <w:t>453</w:t>
            </w:r>
          </w:p>
        </w:tc>
        <w:tc>
          <w:tcPr>
            <w:tcW w:type="dxa" w:w="785"/>
            <w:vAlign w:val="center"/>
          </w:tcPr>
          <w:p>
            <w:r>
              <w:rPr>
                <w:sz w:val="20"/>
              </w:rPr>
              <w:t>453</w:t>
            </w:r>
          </w:p>
        </w:tc>
        <w:tc>
          <w:tcPr>
            <w:tcW w:type="dxa" w:w="785"/>
            <w:vAlign w:val="center"/>
          </w:tcPr>
          <w:p>
            <w:r>
              <w:rPr>
                <w:sz w:val="20"/>
              </w:rPr>
              <w:t>12</w:t>
            </w:r>
          </w:p>
        </w:tc>
        <w:tc>
          <w:tcPr>
            <w:tcW w:type="dxa" w:w="785"/>
            <w:vAlign w:val="center"/>
          </w:tcPr>
          <w:p>
            <w:r>
              <w:rPr>
                <w:sz w:val="20"/>
              </w:rPr>
              <w:t>0.02649</w:t>
            </w:r>
          </w:p>
        </w:tc>
        <w:tc>
          <w:tcPr>
            <w:tcW w:type="dxa" w:w="785"/>
            <w:vAlign w:val="center"/>
          </w:tcPr>
          <w:p>
            <w:r>
              <w:rPr>
                <w:sz w:val="20"/>
              </w:rPr>
              <w:t>0.371915</w:t>
            </w:r>
          </w:p>
        </w:tc>
        <w:tc>
          <w:tcPr>
            <w:tcW w:type="dxa" w:w="785"/>
            <w:vAlign w:val="center"/>
          </w:tcPr>
          <w:p>
            <w:r>
              <w:rPr>
                <w:sz w:val="20"/>
              </w:rPr>
              <w:t>0.951435</w:t>
            </w:r>
          </w:p>
        </w:tc>
        <w:tc>
          <w:tcPr>
            <w:tcW w:type="dxa" w:w="785"/>
            <w:vAlign w:val="center"/>
          </w:tcPr>
          <w:p>
            <w:r>
              <w:rPr>
                <w:sz w:val="20"/>
              </w:rPr>
              <w:t>1.0</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EBM</w:t>
            </w:r>
          </w:p>
        </w:tc>
        <w:tc>
          <w:tcPr>
            <w:tcW w:type="dxa" w:w="785"/>
            <w:vAlign w:val="center"/>
          </w:tcPr>
          <w:p>
            <w:r>
              <w:rPr>
                <w:sz w:val="20"/>
              </w:rPr>
              <w:t>18-25</w:t>
            </w:r>
          </w:p>
        </w:tc>
        <w:tc>
          <w:tcPr>
            <w:tcW w:type="dxa" w:w="785"/>
            <w:vAlign w:val="center"/>
          </w:tcPr>
          <w:p>
            <w:r>
              <w:rPr>
                <w:sz w:val="20"/>
              </w:rPr>
              <w:t>170</w:t>
            </w:r>
          </w:p>
        </w:tc>
        <w:tc>
          <w:tcPr>
            <w:tcW w:type="dxa" w:w="785"/>
            <w:vAlign w:val="center"/>
          </w:tcPr>
          <w:p>
            <w:r>
              <w:rPr>
                <w:sz w:val="20"/>
              </w:rPr>
              <w:t>170</w:t>
            </w:r>
          </w:p>
        </w:tc>
        <w:tc>
          <w:tcPr>
            <w:tcW w:type="dxa" w:w="785"/>
            <w:vAlign w:val="center"/>
          </w:tcPr>
          <w:p>
            <w:r>
              <w:rPr>
                <w:sz w:val="20"/>
              </w:rPr>
              <w:t>9</w:t>
            </w:r>
          </w:p>
        </w:tc>
        <w:tc>
          <w:tcPr>
            <w:tcW w:type="dxa" w:w="785"/>
            <w:vAlign w:val="center"/>
          </w:tcPr>
          <w:p>
            <w:r>
              <w:rPr>
                <w:sz w:val="20"/>
              </w:rPr>
              <w:t>0.052941</w:t>
            </w:r>
          </w:p>
        </w:tc>
        <w:tc>
          <w:tcPr>
            <w:tcW w:type="dxa" w:w="785"/>
            <w:vAlign w:val="center"/>
          </w:tcPr>
          <w:p>
            <w:r>
              <w:rPr>
                <w:sz w:val="20"/>
              </w:rPr>
              <w:t>0.066823</w:t>
            </w:r>
          </w:p>
        </w:tc>
        <w:tc>
          <w:tcPr>
            <w:tcW w:type="dxa" w:w="785"/>
            <w:vAlign w:val="center"/>
          </w:tcPr>
          <w:p>
            <w:r>
              <w:rPr>
                <w:sz w:val="20"/>
              </w:rPr>
              <w:t>0.541176</w:t>
            </w:r>
          </w:p>
        </w:tc>
        <w:tc>
          <w:tcPr>
            <w:tcW w:type="dxa" w:w="785"/>
            <w:vAlign w:val="center"/>
          </w:tcPr>
          <w:p>
            <w:r>
              <w:rPr>
                <w:sz w:val="20"/>
              </w:rPr>
              <w:t>0.568824</w:t>
            </w:r>
          </w:p>
        </w:tc>
        <w:tc>
          <w:tcPr>
            <w:tcW w:type="dxa" w:w="785"/>
            <w:vAlign w:val="center"/>
          </w:tcPr>
          <w:p>
            <w:r>
              <w:rPr>
                <w:sz w:val="20"/>
              </w:rPr>
              <w:t>FAIL</w:t>
            </w:r>
          </w:p>
        </w:tc>
        <w:tc>
          <w:tcPr>
            <w:tcW w:type="dxa" w:w="785"/>
            <w:vAlign w:val="center"/>
          </w:tcPr>
          <w:p>
            <w:r>
              <w:rPr>
                <w:sz w:val="20"/>
              </w:rPr>
              <w:t>booked_holdout</w:t>
            </w:r>
          </w:p>
        </w:tc>
      </w:tr>
      <w:tr>
        <w:tc>
          <w:tcPr>
            <w:tcW w:type="dxa" w:w="785"/>
            <w:vAlign w:val="center"/>
          </w:tcPr>
          <w:p>
            <w:r>
              <w:rPr>
                <w:sz w:val="20"/>
              </w:rPr>
              <w:t>EBM</w:t>
            </w:r>
          </w:p>
        </w:tc>
        <w:tc>
          <w:tcPr>
            <w:tcW w:type="dxa" w:w="785"/>
            <w:vAlign w:val="center"/>
          </w:tcPr>
          <w:p>
            <w:r>
              <w:rPr>
                <w:sz w:val="20"/>
              </w:rPr>
              <w:t>25-35</w:t>
            </w:r>
          </w:p>
        </w:tc>
        <w:tc>
          <w:tcPr>
            <w:tcW w:type="dxa" w:w="785"/>
            <w:vAlign w:val="center"/>
          </w:tcPr>
          <w:p>
            <w:r>
              <w:rPr>
                <w:sz w:val="20"/>
              </w:rPr>
              <w:t>1258</w:t>
            </w:r>
          </w:p>
        </w:tc>
        <w:tc>
          <w:tcPr>
            <w:tcW w:type="dxa" w:w="785"/>
            <w:vAlign w:val="center"/>
          </w:tcPr>
          <w:p>
            <w:r>
              <w:rPr>
                <w:sz w:val="20"/>
              </w:rPr>
              <w:t>1258</w:t>
            </w:r>
          </w:p>
        </w:tc>
        <w:tc>
          <w:tcPr>
            <w:tcW w:type="dxa" w:w="785"/>
            <w:vAlign w:val="center"/>
          </w:tcPr>
          <w:p>
            <w:r>
              <w:rPr>
                <w:sz w:val="20"/>
              </w:rPr>
              <w:t>66</w:t>
            </w:r>
          </w:p>
        </w:tc>
        <w:tc>
          <w:tcPr>
            <w:tcW w:type="dxa" w:w="785"/>
            <w:vAlign w:val="center"/>
          </w:tcPr>
          <w:p>
            <w:r>
              <w:rPr>
                <w:sz w:val="20"/>
              </w:rPr>
              <w:t>0.052464</w:t>
            </w:r>
          </w:p>
        </w:tc>
        <w:tc>
          <w:tcPr>
            <w:tcW w:type="dxa" w:w="785"/>
            <w:vAlign w:val="center"/>
          </w:tcPr>
          <w:p>
            <w:r>
              <w:rPr>
                <w:sz w:val="20"/>
              </w:rPr>
              <w:t>0.04774</w:t>
            </w:r>
          </w:p>
        </w:tc>
        <w:tc>
          <w:tcPr>
            <w:tcW w:type="dxa" w:w="785"/>
            <w:vAlign w:val="center"/>
          </w:tcPr>
          <w:p>
            <w:r>
              <w:rPr>
                <w:sz w:val="20"/>
              </w:rPr>
              <w:t>0.788553</w:t>
            </w:r>
          </w:p>
        </w:tc>
        <w:tc>
          <w:tcPr>
            <w:tcW w:type="dxa" w:w="785"/>
            <w:vAlign w:val="center"/>
          </w:tcPr>
          <w:p>
            <w:r>
              <w:rPr>
                <w:sz w:val="20"/>
              </w:rPr>
              <w:t>0.828838</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EBM</w:t>
            </w:r>
          </w:p>
        </w:tc>
        <w:tc>
          <w:tcPr>
            <w:tcW w:type="dxa" w:w="785"/>
            <w:vAlign w:val="center"/>
          </w:tcPr>
          <w:p>
            <w:r>
              <w:rPr>
                <w:sz w:val="20"/>
              </w:rPr>
              <w:t>35-45</w:t>
            </w:r>
          </w:p>
        </w:tc>
        <w:tc>
          <w:tcPr>
            <w:tcW w:type="dxa" w:w="785"/>
            <w:vAlign w:val="center"/>
          </w:tcPr>
          <w:p>
            <w:r>
              <w:rPr>
                <w:sz w:val="20"/>
              </w:rPr>
              <w:t>1912</w:t>
            </w:r>
          </w:p>
        </w:tc>
        <w:tc>
          <w:tcPr>
            <w:tcW w:type="dxa" w:w="785"/>
            <w:vAlign w:val="center"/>
          </w:tcPr>
          <w:p>
            <w:r>
              <w:rPr>
                <w:sz w:val="20"/>
              </w:rPr>
              <w:t>1912</w:t>
            </w:r>
          </w:p>
        </w:tc>
        <w:tc>
          <w:tcPr>
            <w:tcW w:type="dxa" w:w="785"/>
            <w:vAlign w:val="center"/>
          </w:tcPr>
          <w:p>
            <w:r>
              <w:rPr>
                <w:sz w:val="20"/>
              </w:rPr>
              <w:t>74</w:t>
            </w:r>
          </w:p>
        </w:tc>
        <w:tc>
          <w:tcPr>
            <w:tcW w:type="dxa" w:w="785"/>
            <w:vAlign w:val="center"/>
          </w:tcPr>
          <w:p>
            <w:r>
              <w:rPr>
                <w:sz w:val="20"/>
              </w:rPr>
              <w:t>0.038703</w:t>
            </w:r>
          </w:p>
        </w:tc>
        <w:tc>
          <w:tcPr>
            <w:tcW w:type="dxa" w:w="785"/>
            <w:vAlign w:val="center"/>
          </w:tcPr>
          <w:p>
            <w:r>
              <w:rPr>
                <w:sz w:val="20"/>
              </w:rPr>
              <w:t>0.034475</w:t>
            </w:r>
          </w:p>
        </w:tc>
        <w:tc>
          <w:tcPr>
            <w:tcW w:type="dxa" w:w="785"/>
            <w:vAlign w:val="center"/>
          </w:tcPr>
          <w:p>
            <w:r>
              <w:rPr>
                <w:sz w:val="20"/>
              </w:rPr>
              <w:t>0.919456</w:t>
            </w:r>
          </w:p>
        </w:tc>
        <w:tc>
          <w:tcPr>
            <w:tcW w:type="dxa" w:w="785"/>
            <w:vAlign w:val="center"/>
          </w:tcPr>
          <w:p>
            <w:r>
              <w:rPr>
                <w:sz w:val="20"/>
              </w:rPr>
              <w:t>0.966428</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EBM</w:t>
            </w:r>
          </w:p>
        </w:tc>
        <w:tc>
          <w:tcPr>
            <w:tcW w:type="dxa" w:w="785"/>
            <w:vAlign w:val="center"/>
          </w:tcPr>
          <w:p>
            <w:r>
              <w:rPr>
                <w:sz w:val="20"/>
              </w:rPr>
              <w:t>45-55</w:t>
            </w:r>
          </w:p>
        </w:tc>
        <w:tc>
          <w:tcPr>
            <w:tcW w:type="dxa" w:w="785"/>
            <w:vAlign w:val="center"/>
          </w:tcPr>
          <w:p>
            <w:r>
              <w:rPr>
                <w:sz w:val="20"/>
              </w:rPr>
              <w:t>2075</w:t>
            </w:r>
          </w:p>
        </w:tc>
        <w:tc>
          <w:tcPr>
            <w:tcW w:type="dxa" w:w="785"/>
            <w:vAlign w:val="center"/>
          </w:tcPr>
          <w:p>
            <w:r>
              <w:rPr>
                <w:sz w:val="20"/>
              </w:rPr>
              <w:t>2075</w:t>
            </w:r>
          </w:p>
        </w:tc>
        <w:tc>
          <w:tcPr>
            <w:tcW w:type="dxa" w:w="785"/>
            <w:vAlign w:val="center"/>
          </w:tcPr>
          <w:p>
            <w:r>
              <w:rPr>
                <w:sz w:val="20"/>
              </w:rPr>
              <w:t>80</w:t>
            </w:r>
          </w:p>
        </w:tc>
        <w:tc>
          <w:tcPr>
            <w:tcW w:type="dxa" w:w="785"/>
            <w:vAlign w:val="center"/>
          </w:tcPr>
          <w:p>
            <w:r>
              <w:rPr>
                <w:sz w:val="20"/>
              </w:rPr>
              <w:t>0.038554</w:t>
            </w:r>
          </w:p>
        </w:tc>
        <w:tc>
          <w:tcPr>
            <w:tcW w:type="dxa" w:w="785"/>
            <w:vAlign w:val="center"/>
          </w:tcPr>
          <w:p>
            <w:r>
              <w:rPr>
                <w:sz w:val="20"/>
              </w:rPr>
              <w:t>0.029778</w:t>
            </w:r>
          </w:p>
        </w:tc>
        <w:tc>
          <w:tcPr>
            <w:tcW w:type="dxa" w:w="785"/>
            <w:vAlign w:val="center"/>
          </w:tcPr>
          <w:p>
            <w:r>
              <w:rPr>
                <w:sz w:val="20"/>
              </w:rPr>
              <w:t>0.946024</w:t>
            </w:r>
          </w:p>
        </w:tc>
        <w:tc>
          <w:tcPr>
            <w:tcW w:type="dxa" w:w="785"/>
            <w:vAlign w:val="center"/>
          </w:tcPr>
          <w:p>
            <w:r>
              <w:rPr>
                <w:sz w:val="20"/>
              </w:rPr>
              <w:t>0.994354</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EBM</w:t>
            </w:r>
          </w:p>
        </w:tc>
        <w:tc>
          <w:tcPr>
            <w:tcW w:type="dxa" w:w="785"/>
            <w:vAlign w:val="center"/>
          </w:tcPr>
          <w:p>
            <w:r>
              <w:rPr>
                <w:sz w:val="20"/>
              </w:rPr>
              <w:t>55-65</w:t>
            </w:r>
          </w:p>
        </w:tc>
        <w:tc>
          <w:tcPr>
            <w:tcW w:type="dxa" w:w="785"/>
            <w:vAlign w:val="center"/>
          </w:tcPr>
          <w:p>
            <w:r>
              <w:rPr>
                <w:sz w:val="20"/>
              </w:rPr>
              <w:t>967</w:t>
            </w:r>
          </w:p>
        </w:tc>
        <w:tc>
          <w:tcPr>
            <w:tcW w:type="dxa" w:w="785"/>
            <w:vAlign w:val="center"/>
          </w:tcPr>
          <w:p>
            <w:r>
              <w:rPr>
                <w:sz w:val="20"/>
              </w:rPr>
              <w:t>967</w:t>
            </w:r>
          </w:p>
        </w:tc>
        <w:tc>
          <w:tcPr>
            <w:tcW w:type="dxa" w:w="785"/>
            <w:vAlign w:val="center"/>
          </w:tcPr>
          <w:p>
            <w:r>
              <w:rPr>
                <w:sz w:val="20"/>
              </w:rPr>
              <w:t>22</w:t>
            </w:r>
          </w:p>
        </w:tc>
        <w:tc>
          <w:tcPr>
            <w:tcW w:type="dxa" w:w="785"/>
            <w:vAlign w:val="center"/>
          </w:tcPr>
          <w:p>
            <w:r>
              <w:rPr>
                <w:sz w:val="20"/>
              </w:rPr>
              <w:t>0.022751</w:t>
            </w:r>
          </w:p>
        </w:tc>
        <w:tc>
          <w:tcPr>
            <w:tcW w:type="dxa" w:w="785"/>
            <w:vAlign w:val="center"/>
          </w:tcPr>
          <w:p>
            <w:r>
              <w:rPr>
                <w:sz w:val="20"/>
              </w:rPr>
              <w:t>0.029081</w:t>
            </w:r>
          </w:p>
        </w:tc>
        <w:tc>
          <w:tcPr>
            <w:tcW w:type="dxa" w:w="785"/>
            <w:vAlign w:val="center"/>
          </w:tcPr>
          <w:p>
            <w:r>
              <w:rPr>
                <w:sz w:val="20"/>
              </w:rPr>
              <w:t>0.951396</w:t>
            </w:r>
          </w:p>
        </w:tc>
        <w:tc>
          <w:tcPr>
            <w:tcW w:type="dxa" w:w="785"/>
            <w:vAlign w:val="center"/>
          </w:tcPr>
          <w:p>
            <w:r>
              <w:rPr>
                <w:sz w:val="20"/>
              </w:rPr>
              <w:t>1.0</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EBM</w:t>
            </w:r>
          </w:p>
        </w:tc>
        <w:tc>
          <w:tcPr>
            <w:tcW w:type="dxa" w:w="785"/>
            <w:vAlign w:val="center"/>
          </w:tcPr>
          <w:p>
            <w:r>
              <w:rPr>
                <w:sz w:val="20"/>
              </w:rPr>
              <w:t>65-100</w:t>
            </w:r>
          </w:p>
        </w:tc>
        <w:tc>
          <w:tcPr>
            <w:tcW w:type="dxa" w:w="785"/>
            <w:vAlign w:val="center"/>
          </w:tcPr>
          <w:p>
            <w:r>
              <w:rPr>
                <w:sz w:val="20"/>
              </w:rPr>
              <w:t>453</w:t>
            </w:r>
          </w:p>
        </w:tc>
        <w:tc>
          <w:tcPr>
            <w:tcW w:type="dxa" w:w="785"/>
            <w:vAlign w:val="center"/>
          </w:tcPr>
          <w:p>
            <w:r>
              <w:rPr>
                <w:sz w:val="20"/>
              </w:rPr>
              <w:t>453</w:t>
            </w:r>
          </w:p>
        </w:tc>
        <w:tc>
          <w:tcPr>
            <w:tcW w:type="dxa" w:w="785"/>
            <w:vAlign w:val="center"/>
          </w:tcPr>
          <w:p>
            <w:r>
              <w:rPr>
                <w:sz w:val="20"/>
              </w:rPr>
              <w:t>12</w:t>
            </w:r>
          </w:p>
        </w:tc>
        <w:tc>
          <w:tcPr>
            <w:tcW w:type="dxa" w:w="785"/>
            <w:vAlign w:val="center"/>
          </w:tcPr>
          <w:p>
            <w:r>
              <w:rPr>
                <w:sz w:val="20"/>
              </w:rPr>
              <w:t>0.02649</w:t>
            </w:r>
          </w:p>
        </w:tc>
        <w:tc>
          <w:tcPr>
            <w:tcW w:type="dxa" w:w="785"/>
            <w:vAlign w:val="center"/>
          </w:tcPr>
          <w:p>
            <w:r>
              <w:rPr>
                <w:sz w:val="20"/>
              </w:rPr>
              <w:t>0.030252</w:t>
            </w:r>
          </w:p>
        </w:tc>
        <w:tc>
          <w:tcPr>
            <w:tcW w:type="dxa" w:w="785"/>
            <w:vAlign w:val="center"/>
          </w:tcPr>
          <w:p>
            <w:r>
              <w:rPr>
                <w:sz w:val="20"/>
              </w:rPr>
              <w:t>0.93819</w:t>
            </w:r>
          </w:p>
        </w:tc>
        <w:tc>
          <w:tcPr>
            <w:tcW w:type="dxa" w:w="785"/>
            <w:vAlign w:val="center"/>
          </w:tcPr>
          <w:p>
            <w:r>
              <w:rPr>
                <w:sz w:val="20"/>
              </w:rPr>
              <w:t>0.986119</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LightGBM</w:t>
            </w:r>
          </w:p>
        </w:tc>
        <w:tc>
          <w:tcPr>
            <w:tcW w:type="dxa" w:w="785"/>
            <w:vAlign w:val="center"/>
          </w:tcPr>
          <w:p>
            <w:r>
              <w:rPr>
                <w:sz w:val="20"/>
              </w:rPr>
              <w:t>18-25</w:t>
            </w:r>
          </w:p>
        </w:tc>
        <w:tc>
          <w:tcPr>
            <w:tcW w:type="dxa" w:w="785"/>
            <w:vAlign w:val="center"/>
          </w:tcPr>
          <w:p>
            <w:r>
              <w:rPr>
                <w:sz w:val="20"/>
              </w:rPr>
              <w:t>170</w:t>
            </w:r>
          </w:p>
        </w:tc>
        <w:tc>
          <w:tcPr>
            <w:tcW w:type="dxa" w:w="785"/>
            <w:vAlign w:val="center"/>
          </w:tcPr>
          <w:p>
            <w:r>
              <w:rPr>
                <w:sz w:val="20"/>
              </w:rPr>
              <w:t>170</w:t>
            </w:r>
          </w:p>
        </w:tc>
        <w:tc>
          <w:tcPr>
            <w:tcW w:type="dxa" w:w="785"/>
            <w:vAlign w:val="center"/>
          </w:tcPr>
          <w:p>
            <w:r>
              <w:rPr>
                <w:sz w:val="20"/>
              </w:rPr>
              <w:t>9</w:t>
            </w:r>
          </w:p>
        </w:tc>
        <w:tc>
          <w:tcPr>
            <w:tcW w:type="dxa" w:w="785"/>
            <w:vAlign w:val="center"/>
          </w:tcPr>
          <w:p>
            <w:r>
              <w:rPr>
                <w:sz w:val="20"/>
              </w:rPr>
              <w:t>0.052941</w:t>
            </w:r>
          </w:p>
        </w:tc>
        <w:tc>
          <w:tcPr>
            <w:tcW w:type="dxa" w:w="785"/>
            <w:vAlign w:val="center"/>
          </w:tcPr>
          <w:p>
            <w:r>
              <w:rPr>
                <w:sz w:val="20"/>
              </w:rPr>
              <w:t>0.45939</w:t>
            </w:r>
          </w:p>
        </w:tc>
        <w:tc>
          <w:tcPr>
            <w:tcW w:type="dxa" w:w="785"/>
            <w:vAlign w:val="center"/>
          </w:tcPr>
          <w:p>
            <w:r>
              <w:rPr>
                <w:sz w:val="20"/>
              </w:rPr>
              <w:t>0.658824</w:t>
            </w:r>
          </w:p>
        </w:tc>
        <w:tc>
          <w:tcPr>
            <w:tcW w:type="dxa" w:w="785"/>
            <w:vAlign w:val="center"/>
          </w:tcPr>
          <w:p>
            <w:r>
              <w:rPr>
                <w:sz w:val="20"/>
              </w:rPr>
              <w:t>0.695505</w:t>
            </w:r>
          </w:p>
        </w:tc>
        <w:tc>
          <w:tcPr>
            <w:tcW w:type="dxa" w:w="785"/>
            <w:vAlign w:val="center"/>
          </w:tcPr>
          <w:p>
            <w:r>
              <w:rPr>
                <w:sz w:val="20"/>
              </w:rPr>
              <w:t>FAIL</w:t>
            </w:r>
          </w:p>
        </w:tc>
        <w:tc>
          <w:tcPr>
            <w:tcW w:type="dxa" w:w="785"/>
            <w:vAlign w:val="center"/>
          </w:tcPr>
          <w:p>
            <w:r>
              <w:rPr>
                <w:sz w:val="20"/>
              </w:rPr>
              <w:t>booked_holdout</w:t>
            </w:r>
          </w:p>
        </w:tc>
      </w:tr>
      <w:tr>
        <w:tc>
          <w:tcPr>
            <w:tcW w:type="dxa" w:w="785"/>
            <w:vAlign w:val="center"/>
          </w:tcPr>
          <w:p>
            <w:r>
              <w:rPr>
                <w:sz w:val="20"/>
              </w:rPr>
              <w:t>LightGBM</w:t>
            </w:r>
          </w:p>
        </w:tc>
        <w:tc>
          <w:tcPr>
            <w:tcW w:type="dxa" w:w="785"/>
            <w:vAlign w:val="center"/>
          </w:tcPr>
          <w:p>
            <w:r>
              <w:rPr>
                <w:sz w:val="20"/>
              </w:rPr>
              <w:t>25-35</w:t>
            </w:r>
          </w:p>
        </w:tc>
        <w:tc>
          <w:tcPr>
            <w:tcW w:type="dxa" w:w="785"/>
            <w:vAlign w:val="center"/>
          </w:tcPr>
          <w:p>
            <w:r>
              <w:rPr>
                <w:sz w:val="20"/>
              </w:rPr>
              <w:t>1258</w:t>
            </w:r>
          </w:p>
        </w:tc>
        <w:tc>
          <w:tcPr>
            <w:tcW w:type="dxa" w:w="785"/>
            <w:vAlign w:val="center"/>
          </w:tcPr>
          <w:p>
            <w:r>
              <w:rPr>
                <w:sz w:val="20"/>
              </w:rPr>
              <w:t>1258</w:t>
            </w:r>
          </w:p>
        </w:tc>
        <w:tc>
          <w:tcPr>
            <w:tcW w:type="dxa" w:w="785"/>
            <w:vAlign w:val="center"/>
          </w:tcPr>
          <w:p>
            <w:r>
              <w:rPr>
                <w:sz w:val="20"/>
              </w:rPr>
              <w:t>66</w:t>
            </w:r>
          </w:p>
        </w:tc>
        <w:tc>
          <w:tcPr>
            <w:tcW w:type="dxa" w:w="785"/>
            <w:vAlign w:val="center"/>
          </w:tcPr>
          <w:p>
            <w:r>
              <w:rPr>
                <w:sz w:val="20"/>
              </w:rPr>
              <w:t>0.052464</w:t>
            </w:r>
          </w:p>
        </w:tc>
        <w:tc>
          <w:tcPr>
            <w:tcW w:type="dxa" w:w="785"/>
            <w:vAlign w:val="center"/>
          </w:tcPr>
          <w:p>
            <w:r>
              <w:rPr>
                <w:sz w:val="20"/>
              </w:rPr>
              <w:t>0.343167</w:t>
            </w:r>
          </w:p>
        </w:tc>
        <w:tc>
          <w:tcPr>
            <w:tcW w:type="dxa" w:w="785"/>
            <w:vAlign w:val="center"/>
          </w:tcPr>
          <w:p>
            <w:r>
              <w:rPr>
                <w:sz w:val="20"/>
              </w:rPr>
              <w:t>0.806836</w:t>
            </w:r>
          </w:p>
        </w:tc>
        <w:tc>
          <w:tcPr>
            <w:tcW w:type="dxa" w:w="785"/>
            <w:vAlign w:val="center"/>
          </w:tcPr>
          <w:p>
            <w:r>
              <w:rPr>
                <w:sz w:val="20"/>
              </w:rPr>
              <w:t>0.851758</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LightGBM</w:t>
            </w:r>
          </w:p>
        </w:tc>
        <w:tc>
          <w:tcPr>
            <w:tcW w:type="dxa" w:w="785"/>
            <w:vAlign w:val="center"/>
          </w:tcPr>
          <w:p>
            <w:r>
              <w:rPr>
                <w:sz w:val="20"/>
              </w:rPr>
              <w:t>35-45</w:t>
            </w:r>
          </w:p>
        </w:tc>
        <w:tc>
          <w:tcPr>
            <w:tcW w:type="dxa" w:w="785"/>
            <w:vAlign w:val="center"/>
          </w:tcPr>
          <w:p>
            <w:r>
              <w:rPr>
                <w:sz w:val="20"/>
              </w:rPr>
              <w:t>1912</w:t>
            </w:r>
          </w:p>
        </w:tc>
        <w:tc>
          <w:tcPr>
            <w:tcW w:type="dxa" w:w="785"/>
            <w:vAlign w:val="center"/>
          </w:tcPr>
          <w:p>
            <w:r>
              <w:rPr>
                <w:sz w:val="20"/>
              </w:rPr>
              <w:t>1912</w:t>
            </w:r>
          </w:p>
        </w:tc>
        <w:tc>
          <w:tcPr>
            <w:tcW w:type="dxa" w:w="785"/>
            <w:vAlign w:val="center"/>
          </w:tcPr>
          <w:p>
            <w:r>
              <w:rPr>
                <w:sz w:val="20"/>
              </w:rPr>
              <w:t>74</w:t>
            </w:r>
          </w:p>
        </w:tc>
        <w:tc>
          <w:tcPr>
            <w:tcW w:type="dxa" w:w="785"/>
            <w:vAlign w:val="center"/>
          </w:tcPr>
          <w:p>
            <w:r>
              <w:rPr>
                <w:sz w:val="20"/>
              </w:rPr>
              <w:t>0.038703</w:t>
            </w:r>
          </w:p>
        </w:tc>
        <w:tc>
          <w:tcPr>
            <w:tcW w:type="dxa" w:w="785"/>
            <w:vAlign w:val="center"/>
          </w:tcPr>
          <w:p>
            <w:r>
              <w:rPr>
                <w:sz w:val="20"/>
              </w:rPr>
              <w:t>0.257915</w:t>
            </w:r>
          </w:p>
        </w:tc>
        <w:tc>
          <w:tcPr>
            <w:tcW w:type="dxa" w:w="785"/>
            <w:vAlign w:val="center"/>
          </w:tcPr>
          <w:p>
            <w:r>
              <w:rPr>
                <w:sz w:val="20"/>
              </w:rPr>
              <w:t>0.910565</w:t>
            </w:r>
          </w:p>
        </w:tc>
        <w:tc>
          <w:tcPr>
            <w:tcW w:type="dxa" w:w="785"/>
            <w:vAlign w:val="center"/>
          </w:tcPr>
          <w:p>
            <w:r>
              <w:rPr>
                <w:sz w:val="20"/>
              </w:rPr>
              <w:t>0.961262</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LightGBM</w:t>
            </w:r>
          </w:p>
        </w:tc>
        <w:tc>
          <w:tcPr>
            <w:tcW w:type="dxa" w:w="785"/>
            <w:vAlign w:val="center"/>
          </w:tcPr>
          <w:p>
            <w:r>
              <w:rPr>
                <w:sz w:val="20"/>
              </w:rPr>
              <w:t>45-55</w:t>
            </w:r>
          </w:p>
        </w:tc>
        <w:tc>
          <w:tcPr>
            <w:tcW w:type="dxa" w:w="785"/>
            <w:vAlign w:val="center"/>
          </w:tcPr>
          <w:p>
            <w:r>
              <w:rPr>
                <w:sz w:val="20"/>
              </w:rPr>
              <w:t>2075</w:t>
            </w:r>
          </w:p>
        </w:tc>
        <w:tc>
          <w:tcPr>
            <w:tcW w:type="dxa" w:w="785"/>
            <w:vAlign w:val="center"/>
          </w:tcPr>
          <w:p>
            <w:r>
              <w:rPr>
                <w:sz w:val="20"/>
              </w:rPr>
              <w:t>2075</w:t>
            </w:r>
          </w:p>
        </w:tc>
        <w:tc>
          <w:tcPr>
            <w:tcW w:type="dxa" w:w="785"/>
            <w:vAlign w:val="center"/>
          </w:tcPr>
          <w:p>
            <w:r>
              <w:rPr>
                <w:sz w:val="20"/>
              </w:rPr>
              <w:t>80</w:t>
            </w:r>
          </w:p>
        </w:tc>
        <w:tc>
          <w:tcPr>
            <w:tcW w:type="dxa" w:w="785"/>
            <w:vAlign w:val="center"/>
          </w:tcPr>
          <w:p>
            <w:r>
              <w:rPr>
                <w:sz w:val="20"/>
              </w:rPr>
              <w:t>0.038554</w:t>
            </w:r>
          </w:p>
        </w:tc>
        <w:tc>
          <w:tcPr>
            <w:tcW w:type="dxa" w:w="785"/>
            <w:vAlign w:val="center"/>
          </w:tcPr>
          <w:p>
            <w:r>
              <w:rPr>
                <w:sz w:val="20"/>
              </w:rPr>
              <w:t>0.223239</w:t>
            </w:r>
          </w:p>
        </w:tc>
        <w:tc>
          <w:tcPr>
            <w:tcW w:type="dxa" w:w="785"/>
            <w:vAlign w:val="center"/>
          </w:tcPr>
          <w:p>
            <w:r>
              <w:rPr>
                <w:sz w:val="20"/>
              </w:rPr>
              <w:t>0.933976</w:t>
            </w:r>
          </w:p>
        </w:tc>
        <w:tc>
          <w:tcPr>
            <w:tcW w:type="dxa" w:w="785"/>
            <w:vAlign w:val="center"/>
          </w:tcPr>
          <w:p>
            <w:r>
              <w:rPr>
                <w:sz w:val="20"/>
              </w:rPr>
              <w:t>0.985977</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LightGBM</w:t>
            </w:r>
          </w:p>
        </w:tc>
        <w:tc>
          <w:tcPr>
            <w:tcW w:type="dxa" w:w="785"/>
            <w:vAlign w:val="center"/>
          </w:tcPr>
          <w:p>
            <w:r>
              <w:rPr>
                <w:sz w:val="20"/>
              </w:rPr>
              <w:t>55-65</w:t>
            </w:r>
          </w:p>
        </w:tc>
        <w:tc>
          <w:tcPr>
            <w:tcW w:type="dxa" w:w="785"/>
            <w:vAlign w:val="center"/>
          </w:tcPr>
          <w:p>
            <w:r>
              <w:rPr>
                <w:sz w:val="20"/>
              </w:rPr>
              <w:t>967</w:t>
            </w:r>
          </w:p>
        </w:tc>
        <w:tc>
          <w:tcPr>
            <w:tcW w:type="dxa" w:w="785"/>
            <w:vAlign w:val="center"/>
          </w:tcPr>
          <w:p>
            <w:r>
              <w:rPr>
                <w:sz w:val="20"/>
              </w:rPr>
              <w:t>967</w:t>
            </w:r>
          </w:p>
        </w:tc>
        <w:tc>
          <w:tcPr>
            <w:tcW w:type="dxa" w:w="785"/>
            <w:vAlign w:val="center"/>
          </w:tcPr>
          <w:p>
            <w:r>
              <w:rPr>
                <w:sz w:val="20"/>
              </w:rPr>
              <w:t>22</w:t>
            </w:r>
          </w:p>
        </w:tc>
        <w:tc>
          <w:tcPr>
            <w:tcW w:type="dxa" w:w="785"/>
            <w:vAlign w:val="center"/>
          </w:tcPr>
          <w:p>
            <w:r>
              <w:rPr>
                <w:sz w:val="20"/>
              </w:rPr>
              <w:t>0.022751</w:t>
            </w:r>
          </w:p>
        </w:tc>
        <w:tc>
          <w:tcPr>
            <w:tcW w:type="dxa" w:w="785"/>
            <w:vAlign w:val="center"/>
          </w:tcPr>
          <w:p>
            <w:r>
              <w:rPr>
                <w:sz w:val="20"/>
              </w:rPr>
              <w:t>0.21096</w:t>
            </w:r>
          </w:p>
        </w:tc>
        <w:tc>
          <w:tcPr>
            <w:tcW w:type="dxa" w:w="785"/>
            <w:vAlign w:val="center"/>
          </w:tcPr>
          <w:p>
            <w:r>
              <w:rPr>
                <w:sz w:val="20"/>
              </w:rPr>
              <w:t>0.94726</w:t>
            </w:r>
          </w:p>
        </w:tc>
        <w:tc>
          <w:tcPr>
            <w:tcW w:type="dxa" w:w="785"/>
            <w:vAlign w:val="center"/>
          </w:tcPr>
          <w:p>
            <w:r>
              <w:rPr>
                <w:sz w:val="20"/>
              </w:rPr>
              <w:t>1.0</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LightGBM</w:t>
            </w:r>
          </w:p>
        </w:tc>
        <w:tc>
          <w:tcPr>
            <w:tcW w:type="dxa" w:w="785"/>
            <w:vAlign w:val="center"/>
          </w:tcPr>
          <w:p>
            <w:r>
              <w:rPr>
                <w:sz w:val="20"/>
              </w:rPr>
              <w:t>65-100</w:t>
            </w:r>
          </w:p>
        </w:tc>
        <w:tc>
          <w:tcPr>
            <w:tcW w:type="dxa" w:w="785"/>
            <w:vAlign w:val="center"/>
          </w:tcPr>
          <w:p>
            <w:r>
              <w:rPr>
                <w:sz w:val="20"/>
              </w:rPr>
              <w:t>453</w:t>
            </w:r>
          </w:p>
        </w:tc>
        <w:tc>
          <w:tcPr>
            <w:tcW w:type="dxa" w:w="785"/>
            <w:vAlign w:val="center"/>
          </w:tcPr>
          <w:p>
            <w:r>
              <w:rPr>
                <w:sz w:val="20"/>
              </w:rPr>
              <w:t>453</w:t>
            </w:r>
          </w:p>
        </w:tc>
        <w:tc>
          <w:tcPr>
            <w:tcW w:type="dxa" w:w="785"/>
            <w:vAlign w:val="center"/>
          </w:tcPr>
          <w:p>
            <w:r>
              <w:rPr>
                <w:sz w:val="20"/>
              </w:rPr>
              <w:t>12</w:t>
            </w:r>
          </w:p>
        </w:tc>
        <w:tc>
          <w:tcPr>
            <w:tcW w:type="dxa" w:w="785"/>
            <w:vAlign w:val="center"/>
          </w:tcPr>
          <w:p>
            <w:r>
              <w:rPr>
                <w:sz w:val="20"/>
              </w:rPr>
              <w:t>0.02649</w:t>
            </w:r>
          </w:p>
        </w:tc>
        <w:tc>
          <w:tcPr>
            <w:tcW w:type="dxa" w:w="785"/>
            <w:vAlign w:val="center"/>
          </w:tcPr>
          <w:p>
            <w:r>
              <w:rPr>
                <w:sz w:val="20"/>
              </w:rPr>
              <w:t>0.219967</w:t>
            </w:r>
          </w:p>
        </w:tc>
        <w:tc>
          <w:tcPr>
            <w:tcW w:type="dxa" w:w="785"/>
            <w:vAlign w:val="center"/>
          </w:tcPr>
          <w:p>
            <w:r>
              <w:rPr>
                <w:sz w:val="20"/>
              </w:rPr>
              <w:t>0.944812</w:t>
            </w:r>
          </w:p>
        </w:tc>
        <w:tc>
          <w:tcPr>
            <w:tcW w:type="dxa" w:w="785"/>
            <w:vAlign w:val="center"/>
          </w:tcPr>
          <w:p>
            <w:r>
              <w:rPr>
                <w:sz w:val="20"/>
              </w:rPr>
              <w:t>0.997417</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XGBoost</w:t>
            </w:r>
          </w:p>
        </w:tc>
        <w:tc>
          <w:tcPr>
            <w:tcW w:type="dxa" w:w="785"/>
            <w:vAlign w:val="center"/>
          </w:tcPr>
          <w:p>
            <w:r>
              <w:rPr>
                <w:sz w:val="20"/>
              </w:rPr>
              <w:t>18-25</w:t>
            </w:r>
          </w:p>
        </w:tc>
        <w:tc>
          <w:tcPr>
            <w:tcW w:type="dxa" w:w="785"/>
            <w:vAlign w:val="center"/>
          </w:tcPr>
          <w:p>
            <w:r>
              <w:rPr>
                <w:sz w:val="20"/>
              </w:rPr>
              <w:t>170</w:t>
            </w:r>
          </w:p>
        </w:tc>
        <w:tc>
          <w:tcPr>
            <w:tcW w:type="dxa" w:w="785"/>
            <w:vAlign w:val="center"/>
          </w:tcPr>
          <w:p>
            <w:r>
              <w:rPr>
                <w:sz w:val="20"/>
              </w:rPr>
              <w:t>170</w:t>
            </w:r>
          </w:p>
        </w:tc>
        <w:tc>
          <w:tcPr>
            <w:tcW w:type="dxa" w:w="785"/>
            <w:vAlign w:val="center"/>
          </w:tcPr>
          <w:p>
            <w:r>
              <w:rPr>
                <w:sz w:val="20"/>
              </w:rPr>
              <w:t>9</w:t>
            </w:r>
          </w:p>
        </w:tc>
        <w:tc>
          <w:tcPr>
            <w:tcW w:type="dxa" w:w="785"/>
            <w:vAlign w:val="center"/>
          </w:tcPr>
          <w:p>
            <w:r>
              <w:rPr>
                <w:sz w:val="20"/>
              </w:rPr>
              <w:t>0.052941</w:t>
            </w:r>
          </w:p>
        </w:tc>
        <w:tc>
          <w:tcPr>
            <w:tcW w:type="dxa" w:w="785"/>
            <w:vAlign w:val="center"/>
          </w:tcPr>
          <w:p>
            <w:r>
              <w:rPr>
                <w:sz w:val="20"/>
              </w:rPr>
              <w:t>0.536588</w:t>
            </w:r>
          </w:p>
        </w:tc>
        <w:tc>
          <w:tcPr>
            <w:tcW w:type="dxa" w:w="785"/>
            <w:vAlign w:val="center"/>
          </w:tcPr>
          <w:p>
            <w:r>
              <w:rPr>
                <w:sz w:val="20"/>
              </w:rPr>
              <w:t>0.623529</w:t>
            </w:r>
          </w:p>
        </w:tc>
        <w:tc>
          <w:tcPr>
            <w:tcW w:type="dxa" w:w="785"/>
            <w:vAlign w:val="center"/>
          </w:tcPr>
          <w:p>
            <w:r>
              <w:rPr>
                <w:sz w:val="20"/>
              </w:rPr>
              <w:t>0.659951</w:t>
            </w:r>
          </w:p>
        </w:tc>
        <w:tc>
          <w:tcPr>
            <w:tcW w:type="dxa" w:w="785"/>
            <w:vAlign w:val="center"/>
          </w:tcPr>
          <w:p>
            <w:r>
              <w:rPr>
                <w:sz w:val="20"/>
              </w:rPr>
              <w:t>FAIL</w:t>
            </w:r>
          </w:p>
        </w:tc>
        <w:tc>
          <w:tcPr>
            <w:tcW w:type="dxa" w:w="785"/>
            <w:vAlign w:val="center"/>
          </w:tcPr>
          <w:p>
            <w:r>
              <w:rPr>
                <w:sz w:val="20"/>
              </w:rPr>
              <w:t>booked_holdout</w:t>
            </w:r>
          </w:p>
        </w:tc>
      </w:tr>
      <w:tr>
        <w:tc>
          <w:tcPr>
            <w:tcW w:type="dxa" w:w="785"/>
            <w:vAlign w:val="center"/>
          </w:tcPr>
          <w:p>
            <w:r>
              <w:rPr>
                <w:sz w:val="20"/>
              </w:rPr>
              <w:t>XGBoost</w:t>
            </w:r>
          </w:p>
        </w:tc>
        <w:tc>
          <w:tcPr>
            <w:tcW w:type="dxa" w:w="785"/>
            <w:vAlign w:val="center"/>
          </w:tcPr>
          <w:p>
            <w:r>
              <w:rPr>
                <w:sz w:val="20"/>
              </w:rPr>
              <w:t>25-35</w:t>
            </w:r>
          </w:p>
        </w:tc>
        <w:tc>
          <w:tcPr>
            <w:tcW w:type="dxa" w:w="785"/>
            <w:vAlign w:val="center"/>
          </w:tcPr>
          <w:p>
            <w:r>
              <w:rPr>
                <w:sz w:val="20"/>
              </w:rPr>
              <w:t>1258</w:t>
            </w:r>
          </w:p>
        </w:tc>
        <w:tc>
          <w:tcPr>
            <w:tcW w:type="dxa" w:w="785"/>
            <w:vAlign w:val="center"/>
          </w:tcPr>
          <w:p>
            <w:r>
              <w:rPr>
                <w:sz w:val="20"/>
              </w:rPr>
              <w:t>1258</w:t>
            </w:r>
          </w:p>
        </w:tc>
        <w:tc>
          <w:tcPr>
            <w:tcW w:type="dxa" w:w="785"/>
            <w:vAlign w:val="center"/>
          </w:tcPr>
          <w:p>
            <w:r>
              <w:rPr>
                <w:sz w:val="20"/>
              </w:rPr>
              <w:t>66</w:t>
            </w:r>
          </w:p>
        </w:tc>
        <w:tc>
          <w:tcPr>
            <w:tcW w:type="dxa" w:w="785"/>
            <w:vAlign w:val="center"/>
          </w:tcPr>
          <w:p>
            <w:r>
              <w:rPr>
                <w:sz w:val="20"/>
              </w:rPr>
              <w:t>0.052464</w:t>
            </w:r>
          </w:p>
        </w:tc>
        <w:tc>
          <w:tcPr>
            <w:tcW w:type="dxa" w:w="785"/>
            <w:vAlign w:val="center"/>
          </w:tcPr>
          <w:p>
            <w:r>
              <w:rPr>
                <w:sz w:val="20"/>
              </w:rPr>
              <w:t>0.411418</w:t>
            </w:r>
          </w:p>
        </w:tc>
        <w:tc>
          <w:tcPr>
            <w:tcW w:type="dxa" w:w="785"/>
            <w:vAlign w:val="center"/>
          </w:tcPr>
          <w:p>
            <w:r>
              <w:rPr>
                <w:sz w:val="20"/>
              </w:rPr>
              <w:t>0.807631</w:t>
            </w:r>
          </w:p>
        </w:tc>
        <w:tc>
          <w:tcPr>
            <w:tcW w:type="dxa" w:w="785"/>
            <w:vAlign w:val="center"/>
          </w:tcPr>
          <w:p>
            <w:r>
              <w:rPr>
                <w:sz w:val="20"/>
              </w:rPr>
              <w:t>0.854806</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XGBoost</w:t>
            </w:r>
          </w:p>
        </w:tc>
        <w:tc>
          <w:tcPr>
            <w:tcW w:type="dxa" w:w="785"/>
            <w:vAlign w:val="center"/>
          </w:tcPr>
          <w:p>
            <w:r>
              <w:rPr>
                <w:sz w:val="20"/>
              </w:rPr>
              <w:t>35-45</w:t>
            </w:r>
          </w:p>
        </w:tc>
        <w:tc>
          <w:tcPr>
            <w:tcW w:type="dxa" w:w="785"/>
            <w:vAlign w:val="center"/>
          </w:tcPr>
          <w:p>
            <w:r>
              <w:rPr>
                <w:sz w:val="20"/>
              </w:rPr>
              <w:t>1912</w:t>
            </w:r>
          </w:p>
        </w:tc>
        <w:tc>
          <w:tcPr>
            <w:tcW w:type="dxa" w:w="785"/>
            <w:vAlign w:val="center"/>
          </w:tcPr>
          <w:p>
            <w:r>
              <w:rPr>
                <w:sz w:val="20"/>
              </w:rPr>
              <w:t>1912</w:t>
            </w:r>
          </w:p>
        </w:tc>
        <w:tc>
          <w:tcPr>
            <w:tcW w:type="dxa" w:w="785"/>
            <w:vAlign w:val="center"/>
          </w:tcPr>
          <w:p>
            <w:r>
              <w:rPr>
                <w:sz w:val="20"/>
              </w:rPr>
              <w:t>74</w:t>
            </w:r>
          </w:p>
        </w:tc>
        <w:tc>
          <w:tcPr>
            <w:tcW w:type="dxa" w:w="785"/>
            <w:vAlign w:val="center"/>
          </w:tcPr>
          <w:p>
            <w:r>
              <w:rPr>
                <w:sz w:val="20"/>
              </w:rPr>
              <w:t>0.038703</w:t>
            </w:r>
          </w:p>
        </w:tc>
        <w:tc>
          <w:tcPr>
            <w:tcW w:type="dxa" w:w="785"/>
            <w:vAlign w:val="center"/>
          </w:tcPr>
          <w:p>
            <w:r>
              <w:rPr>
                <w:sz w:val="20"/>
              </w:rPr>
              <w:t>0.321987</w:t>
            </w:r>
          </w:p>
        </w:tc>
        <w:tc>
          <w:tcPr>
            <w:tcW w:type="dxa" w:w="785"/>
            <w:vAlign w:val="center"/>
          </w:tcPr>
          <w:p>
            <w:r>
              <w:rPr>
                <w:sz w:val="20"/>
              </w:rPr>
              <w:t>0.916841</w:t>
            </w:r>
          </w:p>
        </w:tc>
        <w:tc>
          <w:tcPr>
            <w:tcW w:type="dxa" w:w="785"/>
            <w:vAlign w:val="center"/>
          </w:tcPr>
          <w:p>
            <w:r>
              <w:rPr>
                <w:sz w:val="20"/>
              </w:rPr>
              <w:t>0.970395</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XGBoost</w:t>
            </w:r>
          </w:p>
        </w:tc>
        <w:tc>
          <w:tcPr>
            <w:tcW w:type="dxa" w:w="785"/>
            <w:vAlign w:val="center"/>
          </w:tcPr>
          <w:p>
            <w:r>
              <w:rPr>
                <w:sz w:val="20"/>
              </w:rPr>
              <w:t>45-55</w:t>
            </w:r>
          </w:p>
        </w:tc>
        <w:tc>
          <w:tcPr>
            <w:tcW w:type="dxa" w:w="785"/>
            <w:vAlign w:val="center"/>
          </w:tcPr>
          <w:p>
            <w:r>
              <w:rPr>
                <w:sz w:val="20"/>
              </w:rPr>
              <w:t>2075</w:t>
            </w:r>
          </w:p>
        </w:tc>
        <w:tc>
          <w:tcPr>
            <w:tcW w:type="dxa" w:w="785"/>
            <w:vAlign w:val="center"/>
          </w:tcPr>
          <w:p>
            <w:r>
              <w:rPr>
                <w:sz w:val="20"/>
              </w:rPr>
              <w:t>2075</w:t>
            </w:r>
          </w:p>
        </w:tc>
        <w:tc>
          <w:tcPr>
            <w:tcW w:type="dxa" w:w="785"/>
            <w:vAlign w:val="center"/>
          </w:tcPr>
          <w:p>
            <w:r>
              <w:rPr>
                <w:sz w:val="20"/>
              </w:rPr>
              <w:t>80</w:t>
            </w:r>
          </w:p>
        </w:tc>
        <w:tc>
          <w:tcPr>
            <w:tcW w:type="dxa" w:w="785"/>
            <w:vAlign w:val="center"/>
          </w:tcPr>
          <w:p>
            <w:r>
              <w:rPr>
                <w:sz w:val="20"/>
              </w:rPr>
              <w:t>0.038554</w:t>
            </w:r>
          </w:p>
        </w:tc>
        <w:tc>
          <w:tcPr>
            <w:tcW w:type="dxa" w:w="785"/>
            <w:vAlign w:val="center"/>
          </w:tcPr>
          <w:p>
            <w:r>
              <w:rPr>
                <w:sz w:val="20"/>
              </w:rPr>
              <w:t>0.285002</w:t>
            </w:r>
          </w:p>
        </w:tc>
        <w:tc>
          <w:tcPr>
            <w:tcW w:type="dxa" w:w="785"/>
            <w:vAlign w:val="center"/>
          </w:tcPr>
          <w:p>
            <w:r>
              <w:rPr>
                <w:sz w:val="20"/>
              </w:rPr>
              <w:t>0.935904</w:t>
            </w:r>
          </w:p>
        </w:tc>
        <w:tc>
          <w:tcPr>
            <w:tcW w:type="dxa" w:w="785"/>
            <w:vAlign w:val="center"/>
          </w:tcPr>
          <w:p>
            <w:r>
              <w:rPr>
                <w:sz w:val="20"/>
              </w:rPr>
              <w:t>0.990571</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XGBoost</w:t>
            </w:r>
          </w:p>
        </w:tc>
        <w:tc>
          <w:tcPr>
            <w:tcW w:type="dxa" w:w="785"/>
            <w:vAlign w:val="center"/>
          </w:tcPr>
          <w:p>
            <w:r>
              <w:rPr>
                <w:sz w:val="20"/>
              </w:rPr>
              <w:t>55-65</w:t>
            </w:r>
          </w:p>
        </w:tc>
        <w:tc>
          <w:tcPr>
            <w:tcW w:type="dxa" w:w="785"/>
            <w:vAlign w:val="center"/>
          </w:tcPr>
          <w:p>
            <w:r>
              <w:rPr>
                <w:sz w:val="20"/>
              </w:rPr>
              <w:t>967</w:t>
            </w:r>
          </w:p>
        </w:tc>
        <w:tc>
          <w:tcPr>
            <w:tcW w:type="dxa" w:w="785"/>
            <w:vAlign w:val="center"/>
          </w:tcPr>
          <w:p>
            <w:r>
              <w:rPr>
                <w:sz w:val="20"/>
              </w:rPr>
              <w:t>967</w:t>
            </w:r>
          </w:p>
        </w:tc>
        <w:tc>
          <w:tcPr>
            <w:tcW w:type="dxa" w:w="785"/>
            <w:vAlign w:val="center"/>
          </w:tcPr>
          <w:p>
            <w:r>
              <w:rPr>
                <w:sz w:val="20"/>
              </w:rPr>
              <w:t>22</w:t>
            </w:r>
          </w:p>
        </w:tc>
        <w:tc>
          <w:tcPr>
            <w:tcW w:type="dxa" w:w="785"/>
            <w:vAlign w:val="center"/>
          </w:tcPr>
          <w:p>
            <w:r>
              <w:rPr>
                <w:sz w:val="20"/>
              </w:rPr>
              <w:t>0.022751</w:t>
            </w:r>
          </w:p>
        </w:tc>
        <w:tc>
          <w:tcPr>
            <w:tcW w:type="dxa" w:w="785"/>
            <w:vAlign w:val="center"/>
          </w:tcPr>
          <w:p>
            <w:r>
              <w:rPr>
                <w:sz w:val="20"/>
              </w:rPr>
              <w:t>0.276535</w:t>
            </w:r>
          </w:p>
        </w:tc>
        <w:tc>
          <w:tcPr>
            <w:tcW w:type="dxa" w:w="785"/>
            <w:vAlign w:val="center"/>
          </w:tcPr>
          <w:p>
            <w:r>
              <w:rPr>
                <w:sz w:val="20"/>
              </w:rPr>
              <w:t>0.935884</w:t>
            </w:r>
          </w:p>
        </w:tc>
        <w:tc>
          <w:tcPr>
            <w:tcW w:type="dxa" w:w="785"/>
            <w:vAlign w:val="center"/>
          </w:tcPr>
          <w:p>
            <w:r>
              <w:rPr>
                <w:sz w:val="20"/>
              </w:rPr>
              <w:t>0.99055</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XGBoost</w:t>
            </w:r>
          </w:p>
        </w:tc>
        <w:tc>
          <w:tcPr>
            <w:tcW w:type="dxa" w:w="785"/>
            <w:vAlign w:val="center"/>
          </w:tcPr>
          <w:p>
            <w:r>
              <w:rPr>
                <w:sz w:val="20"/>
              </w:rPr>
              <w:t>65-100</w:t>
            </w:r>
          </w:p>
        </w:tc>
        <w:tc>
          <w:tcPr>
            <w:tcW w:type="dxa" w:w="785"/>
            <w:vAlign w:val="center"/>
          </w:tcPr>
          <w:p>
            <w:r>
              <w:rPr>
                <w:sz w:val="20"/>
              </w:rPr>
              <w:t>453</w:t>
            </w:r>
          </w:p>
        </w:tc>
        <w:tc>
          <w:tcPr>
            <w:tcW w:type="dxa" w:w="785"/>
            <w:vAlign w:val="center"/>
          </w:tcPr>
          <w:p>
            <w:r>
              <w:rPr>
                <w:sz w:val="20"/>
              </w:rPr>
              <w:t>453</w:t>
            </w:r>
          </w:p>
        </w:tc>
        <w:tc>
          <w:tcPr>
            <w:tcW w:type="dxa" w:w="785"/>
            <w:vAlign w:val="center"/>
          </w:tcPr>
          <w:p>
            <w:r>
              <w:rPr>
                <w:sz w:val="20"/>
              </w:rPr>
              <w:t>12</w:t>
            </w:r>
          </w:p>
        </w:tc>
        <w:tc>
          <w:tcPr>
            <w:tcW w:type="dxa" w:w="785"/>
            <w:vAlign w:val="center"/>
          </w:tcPr>
          <w:p>
            <w:r>
              <w:rPr>
                <w:sz w:val="20"/>
              </w:rPr>
              <w:t>0.02649</w:t>
            </w:r>
          </w:p>
        </w:tc>
        <w:tc>
          <w:tcPr>
            <w:tcW w:type="dxa" w:w="785"/>
            <w:vAlign w:val="center"/>
          </w:tcPr>
          <w:p>
            <w:r>
              <w:rPr>
                <w:sz w:val="20"/>
              </w:rPr>
              <w:t>0.278588</w:t>
            </w:r>
          </w:p>
        </w:tc>
        <w:tc>
          <w:tcPr>
            <w:tcW w:type="dxa" w:w="785"/>
            <w:vAlign w:val="center"/>
          </w:tcPr>
          <w:p>
            <w:r>
              <w:rPr>
                <w:sz w:val="20"/>
              </w:rPr>
              <w:t>0.944812</w:t>
            </w:r>
          </w:p>
        </w:tc>
        <w:tc>
          <w:tcPr>
            <w:tcW w:type="dxa" w:w="785"/>
            <w:vAlign w:val="center"/>
          </w:tcPr>
          <w:p>
            <w:r>
              <w:rPr>
                <w:sz w:val="20"/>
              </w:rPr>
              <w:t>1.0</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CatBoost</w:t>
            </w:r>
          </w:p>
        </w:tc>
        <w:tc>
          <w:tcPr>
            <w:tcW w:type="dxa" w:w="785"/>
            <w:vAlign w:val="center"/>
          </w:tcPr>
          <w:p>
            <w:r>
              <w:rPr>
                <w:sz w:val="20"/>
              </w:rPr>
              <w:t>18-25</w:t>
            </w:r>
          </w:p>
        </w:tc>
        <w:tc>
          <w:tcPr>
            <w:tcW w:type="dxa" w:w="785"/>
            <w:vAlign w:val="center"/>
          </w:tcPr>
          <w:p>
            <w:r>
              <w:rPr>
                <w:sz w:val="20"/>
              </w:rPr>
              <w:t>170</w:t>
            </w:r>
          </w:p>
        </w:tc>
        <w:tc>
          <w:tcPr>
            <w:tcW w:type="dxa" w:w="785"/>
            <w:vAlign w:val="center"/>
          </w:tcPr>
          <w:p>
            <w:r>
              <w:rPr>
                <w:sz w:val="20"/>
              </w:rPr>
              <w:t>170</w:t>
            </w:r>
          </w:p>
        </w:tc>
        <w:tc>
          <w:tcPr>
            <w:tcW w:type="dxa" w:w="785"/>
            <w:vAlign w:val="center"/>
          </w:tcPr>
          <w:p>
            <w:r>
              <w:rPr>
                <w:sz w:val="20"/>
              </w:rPr>
              <w:t>9</w:t>
            </w:r>
          </w:p>
        </w:tc>
        <w:tc>
          <w:tcPr>
            <w:tcW w:type="dxa" w:w="785"/>
            <w:vAlign w:val="center"/>
          </w:tcPr>
          <w:p>
            <w:r>
              <w:rPr>
                <w:sz w:val="20"/>
              </w:rPr>
              <w:t>0.052941</w:t>
            </w:r>
          </w:p>
        </w:tc>
        <w:tc>
          <w:tcPr>
            <w:tcW w:type="dxa" w:w="785"/>
            <w:vAlign w:val="center"/>
          </w:tcPr>
          <w:p>
            <w:r>
              <w:rPr>
                <w:sz w:val="20"/>
              </w:rPr>
              <w:t>0.377502</w:t>
            </w:r>
          </w:p>
        </w:tc>
        <w:tc>
          <w:tcPr>
            <w:tcW w:type="dxa" w:w="785"/>
            <w:vAlign w:val="center"/>
          </w:tcPr>
          <w:p>
            <w:r>
              <w:rPr>
                <w:sz w:val="20"/>
              </w:rPr>
              <w:t>0.676471</w:t>
            </w:r>
          </w:p>
        </w:tc>
        <w:tc>
          <w:tcPr>
            <w:tcW w:type="dxa" w:w="785"/>
            <w:vAlign w:val="center"/>
          </w:tcPr>
          <w:p>
            <w:r>
              <w:rPr>
                <w:sz w:val="20"/>
              </w:rPr>
              <w:t>0.7049</w:t>
            </w:r>
          </w:p>
        </w:tc>
        <w:tc>
          <w:tcPr>
            <w:tcW w:type="dxa" w:w="785"/>
            <w:vAlign w:val="center"/>
          </w:tcPr>
          <w:p>
            <w:r>
              <w:rPr>
                <w:sz w:val="20"/>
              </w:rPr>
              <w:t>FAIL</w:t>
            </w:r>
          </w:p>
        </w:tc>
        <w:tc>
          <w:tcPr>
            <w:tcW w:type="dxa" w:w="785"/>
            <w:vAlign w:val="center"/>
          </w:tcPr>
          <w:p>
            <w:r>
              <w:rPr>
                <w:sz w:val="20"/>
              </w:rPr>
              <w:t>booked_holdout</w:t>
            </w:r>
          </w:p>
        </w:tc>
      </w:tr>
      <w:tr>
        <w:tc>
          <w:tcPr>
            <w:tcW w:type="dxa" w:w="785"/>
            <w:vAlign w:val="center"/>
          </w:tcPr>
          <w:p>
            <w:r>
              <w:rPr>
                <w:sz w:val="20"/>
              </w:rPr>
              <w:t>CatBoost</w:t>
            </w:r>
          </w:p>
        </w:tc>
        <w:tc>
          <w:tcPr>
            <w:tcW w:type="dxa" w:w="785"/>
            <w:vAlign w:val="center"/>
          </w:tcPr>
          <w:p>
            <w:r>
              <w:rPr>
                <w:sz w:val="20"/>
              </w:rPr>
              <w:t>25-35</w:t>
            </w:r>
          </w:p>
        </w:tc>
        <w:tc>
          <w:tcPr>
            <w:tcW w:type="dxa" w:w="785"/>
            <w:vAlign w:val="center"/>
          </w:tcPr>
          <w:p>
            <w:r>
              <w:rPr>
                <w:sz w:val="20"/>
              </w:rPr>
              <w:t>1258</w:t>
            </w:r>
          </w:p>
        </w:tc>
        <w:tc>
          <w:tcPr>
            <w:tcW w:type="dxa" w:w="785"/>
            <w:vAlign w:val="center"/>
          </w:tcPr>
          <w:p>
            <w:r>
              <w:rPr>
                <w:sz w:val="20"/>
              </w:rPr>
              <w:t>1258</w:t>
            </w:r>
          </w:p>
        </w:tc>
        <w:tc>
          <w:tcPr>
            <w:tcW w:type="dxa" w:w="785"/>
            <w:vAlign w:val="center"/>
          </w:tcPr>
          <w:p>
            <w:r>
              <w:rPr>
                <w:sz w:val="20"/>
              </w:rPr>
              <w:t>66</w:t>
            </w:r>
          </w:p>
        </w:tc>
        <w:tc>
          <w:tcPr>
            <w:tcW w:type="dxa" w:w="785"/>
            <w:vAlign w:val="center"/>
          </w:tcPr>
          <w:p>
            <w:r>
              <w:rPr>
                <w:sz w:val="20"/>
              </w:rPr>
              <w:t>0.052464</w:t>
            </w:r>
          </w:p>
        </w:tc>
        <w:tc>
          <w:tcPr>
            <w:tcW w:type="dxa" w:w="785"/>
            <w:vAlign w:val="center"/>
          </w:tcPr>
          <w:p>
            <w:r>
              <w:rPr>
                <w:sz w:val="20"/>
              </w:rPr>
              <w:t>0.300923</w:t>
            </w:r>
          </w:p>
        </w:tc>
        <w:tc>
          <w:tcPr>
            <w:tcW w:type="dxa" w:w="785"/>
            <w:vAlign w:val="center"/>
          </w:tcPr>
          <w:p>
            <w:r>
              <w:rPr>
                <w:sz w:val="20"/>
              </w:rPr>
              <w:t>0.833068</w:t>
            </w:r>
          </w:p>
        </w:tc>
        <w:tc>
          <w:tcPr>
            <w:tcW w:type="dxa" w:w="785"/>
            <w:vAlign w:val="center"/>
          </w:tcPr>
          <w:p>
            <w:r>
              <w:rPr>
                <w:sz w:val="20"/>
              </w:rPr>
              <w:t>0.868079</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CatBoost</w:t>
            </w:r>
          </w:p>
        </w:tc>
        <w:tc>
          <w:tcPr>
            <w:tcW w:type="dxa" w:w="785"/>
            <w:vAlign w:val="center"/>
          </w:tcPr>
          <w:p>
            <w:r>
              <w:rPr>
                <w:sz w:val="20"/>
              </w:rPr>
              <w:t>35-45</w:t>
            </w:r>
          </w:p>
        </w:tc>
        <w:tc>
          <w:tcPr>
            <w:tcW w:type="dxa" w:w="785"/>
            <w:vAlign w:val="center"/>
          </w:tcPr>
          <w:p>
            <w:r>
              <w:rPr>
                <w:sz w:val="20"/>
              </w:rPr>
              <w:t>1912</w:t>
            </w:r>
          </w:p>
        </w:tc>
        <w:tc>
          <w:tcPr>
            <w:tcW w:type="dxa" w:w="785"/>
            <w:vAlign w:val="center"/>
          </w:tcPr>
          <w:p>
            <w:r>
              <w:rPr>
                <w:sz w:val="20"/>
              </w:rPr>
              <w:t>1912</w:t>
            </w:r>
          </w:p>
        </w:tc>
        <w:tc>
          <w:tcPr>
            <w:tcW w:type="dxa" w:w="785"/>
            <w:vAlign w:val="center"/>
          </w:tcPr>
          <w:p>
            <w:r>
              <w:rPr>
                <w:sz w:val="20"/>
              </w:rPr>
              <w:t>74</w:t>
            </w:r>
          </w:p>
        </w:tc>
        <w:tc>
          <w:tcPr>
            <w:tcW w:type="dxa" w:w="785"/>
            <w:vAlign w:val="center"/>
          </w:tcPr>
          <w:p>
            <w:r>
              <w:rPr>
                <w:sz w:val="20"/>
              </w:rPr>
              <w:t>0.038703</w:t>
            </w:r>
          </w:p>
        </w:tc>
        <w:tc>
          <w:tcPr>
            <w:tcW w:type="dxa" w:w="785"/>
            <w:vAlign w:val="center"/>
          </w:tcPr>
          <w:p>
            <w:r>
              <w:rPr>
                <w:sz w:val="20"/>
              </w:rPr>
              <w:t>0.262507</w:t>
            </w:r>
          </w:p>
        </w:tc>
        <w:tc>
          <w:tcPr>
            <w:tcW w:type="dxa" w:w="785"/>
            <w:vAlign w:val="center"/>
          </w:tcPr>
          <w:p>
            <w:r>
              <w:rPr>
                <w:sz w:val="20"/>
              </w:rPr>
              <w:t>0.891736</w:t>
            </w:r>
          </w:p>
        </w:tc>
        <w:tc>
          <w:tcPr>
            <w:tcW w:type="dxa" w:w="785"/>
            <w:vAlign w:val="center"/>
          </w:tcPr>
          <w:p>
            <w:r>
              <w:rPr>
                <w:sz w:val="20"/>
              </w:rPr>
              <w:t>0.929212</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CatBoost</w:t>
            </w:r>
          </w:p>
        </w:tc>
        <w:tc>
          <w:tcPr>
            <w:tcW w:type="dxa" w:w="785"/>
            <w:vAlign w:val="center"/>
          </w:tcPr>
          <w:p>
            <w:r>
              <w:rPr>
                <w:sz w:val="20"/>
              </w:rPr>
              <w:t>45-55</w:t>
            </w:r>
          </w:p>
        </w:tc>
        <w:tc>
          <w:tcPr>
            <w:tcW w:type="dxa" w:w="785"/>
            <w:vAlign w:val="center"/>
          </w:tcPr>
          <w:p>
            <w:r>
              <w:rPr>
                <w:sz w:val="20"/>
              </w:rPr>
              <w:t>2075</w:t>
            </w:r>
          </w:p>
        </w:tc>
        <w:tc>
          <w:tcPr>
            <w:tcW w:type="dxa" w:w="785"/>
            <w:vAlign w:val="center"/>
          </w:tcPr>
          <w:p>
            <w:r>
              <w:rPr>
                <w:sz w:val="20"/>
              </w:rPr>
              <w:t>2075</w:t>
            </w:r>
          </w:p>
        </w:tc>
        <w:tc>
          <w:tcPr>
            <w:tcW w:type="dxa" w:w="785"/>
            <w:vAlign w:val="center"/>
          </w:tcPr>
          <w:p>
            <w:r>
              <w:rPr>
                <w:sz w:val="20"/>
              </w:rPr>
              <w:t>80</w:t>
            </w:r>
          </w:p>
        </w:tc>
        <w:tc>
          <w:tcPr>
            <w:tcW w:type="dxa" w:w="785"/>
            <w:vAlign w:val="center"/>
          </w:tcPr>
          <w:p>
            <w:r>
              <w:rPr>
                <w:sz w:val="20"/>
              </w:rPr>
              <w:t>0.038554</w:t>
            </w:r>
          </w:p>
        </w:tc>
        <w:tc>
          <w:tcPr>
            <w:tcW w:type="dxa" w:w="785"/>
            <w:vAlign w:val="center"/>
          </w:tcPr>
          <w:p>
            <w:r>
              <w:rPr>
                <w:sz w:val="20"/>
              </w:rPr>
              <w:t>0.225184</w:t>
            </w:r>
          </w:p>
        </w:tc>
        <w:tc>
          <w:tcPr>
            <w:tcW w:type="dxa" w:w="785"/>
            <w:vAlign w:val="center"/>
          </w:tcPr>
          <w:p>
            <w:r>
              <w:rPr>
                <w:sz w:val="20"/>
              </w:rPr>
              <w:t>0.928675</w:t>
            </w:r>
          </w:p>
        </w:tc>
        <w:tc>
          <w:tcPr>
            <w:tcW w:type="dxa" w:w="785"/>
            <w:vAlign w:val="center"/>
          </w:tcPr>
          <w:p>
            <w:r>
              <w:rPr>
                <w:sz w:val="20"/>
              </w:rPr>
              <w:t>0.967703</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CatBoost</w:t>
            </w:r>
          </w:p>
        </w:tc>
        <w:tc>
          <w:tcPr>
            <w:tcW w:type="dxa" w:w="785"/>
            <w:vAlign w:val="center"/>
          </w:tcPr>
          <w:p>
            <w:r>
              <w:rPr>
                <w:sz w:val="20"/>
              </w:rPr>
              <w:t>55-65</w:t>
            </w:r>
          </w:p>
        </w:tc>
        <w:tc>
          <w:tcPr>
            <w:tcW w:type="dxa" w:w="785"/>
            <w:vAlign w:val="center"/>
          </w:tcPr>
          <w:p>
            <w:r>
              <w:rPr>
                <w:sz w:val="20"/>
              </w:rPr>
              <w:t>967</w:t>
            </w:r>
          </w:p>
        </w:tc>
        <w:tc>
          <w:tcPr>
            <w:tcW w:type="dxa" w:w="785"/>
            <w:vAlign w:val="center"/>
          </w:tcPr>
          <w:p>
            <w:r>
              <w:rPr>
                <w:sz w:val="20"/>
              </w:rPr>
              <w:t>967</w:t>
            </w:r>
          </w:p>
        </w:tc>
        <w:tc>
          <w:tcPr>
            <w:tcW w:type="dxa" w:w="785"/>
            <w:vAlign w:val="center"/>
          </w:tcPr>
          <w:p>
            <w:r>
              <w:rPr>
                <w:sz w:val="20"/>
              </w:rPr>
              <w:t>22</w:t>
            </w:r>
          </w:p>
        </w:tc>
        <w:tc>
          <w:tcPr>
            <w:tcW w:type="dxa" w:w="785"/>
            <w:vAlign w:val="center"/>
          </w:tcPr>
          <w:p>
            <w:r>
              <w:rPr>
                <w:sz w:val="20"/>
              </w:rPr>
              <w:t>0.022751</w:t>
            </w:r>
          </w:p>
        </w:tc>
        <w:tc>
          <w:tcPr>
            <w:tcW w:type="dxa" w:w="785"/>
            <w:vAlign w:val="center"/>
          </w:tcPr>
          <w:p>
            <w:r>
              <w:rPr>
                <w:sz w:val="20"/>
              </w:rPr>
              <w:t>0.193568</w:t>
            </w:r>
          </w:p>
        </w:tc>
        <w:tc>
          <w:tcPr>
            <w:tcW w:type="dxa" w:w="785"/>
            <w:vAlign w:val="center"/>
          </w:tcPr>
          <w:p>
            <w:r>
              <w:rPr>
                <w:sz w:val="20"/>
              </w:rPr>
              <w:t>0.959669</w:t>
            </w:r>
          </w:p>
        </w:tc>
        <w:tc>
          <w:tcPr>
            <w:tcW w:type="dxa" w:w="785"/>
            <w:vAlign w:val="center"/>
          </w:tcPr>
          <w:p>
            <w:r>
              <w:rPr>
                <w:sz w:val="20"/>
              </w:rPr>
              <w:t>1.0</w:t>
            </w:r>
          </w:p>
        </w:tc>
        <w:tc>
          <w:tcPr>
            <w:tcW w:type="dxa" w:w="785"/>
            <w:vAlign w:val="center"/>
          </w:tcPr>
          <w:p>
            <w:r>
              <w:rPr>
                <w:sz w:val="20"/>
              </w:rPr>
              <w:t>PASS</w:t>
            </w:r>
          </w:p>
        </w:tc>
        <w:tc>
          <w:tcPr>
            <w:tcW w:type="dxa" w:w="785"/>
            <w:vAlign w:val="center"/>
          </w:tcPr>
          <w:p>
            <w:r>
              <w:rPr>
                <w:sz w:val="20"/>
              </w:rPr>
              <w:t>booked_holdout</w:t>
            </w:r>
          </w:p>
        </w:tc>
      </w:tr>
      <w:tr>
        <w:tc>
          <w:tcPr>
            <w:tcW w:type="dxa" w:w="785"/>
            <w:vAlign w:val="center"/>
          </w:tcPr>
          <w:p>
            <w:r>
              <w:rPr>
                <w:sz w:val="20"/>
              </w:rPr>
              <w:t>CatBoost</w:t>
            </w:r>
          </w:p>
        </w:tc>
        <w:tc>
          <w:tcPr>
            <w:tcW w:type="dxa" w:w="785"/>
            <w:vAlign w:val="center"/>
          </w:tcPr>
          <w:p>
            <w:r>
              <w:rPr>
                <w:sz w:val="20"/>
              </w:rPr>
              <w:t>65-100</w:t>
            </w:r>
          </w:p>
        </w:tc>
        <w:tc>
          <w:tcPr>
            <w:tcW w:type="dxa" w:w="785"/>
            <w:vAlign w:val="center"/>
          </w:tcPr>
          <w:p>
            <w:r>
              <w:rPr>
                <w:sz w:val="20"/>
              </w:rPr>
              <w:t>453</w:t>
            </w:r>
          </w:p>
        </w:tc>
        <w:tc>
          <w:tcPr>
            <w:tcW w:type="dxa" w:w="785"/>
            <w:vAlign w:val="center"/>
          </w:tcPr>
          <w:p>
            <w:r>
              <w:rPr>
                <w:sz w:val="20"/>
              </w:rPr>
              <w:t>453</w:t>
            </w:r>
          </w:p>
        </w:tc>
        <w:tc>
          <w:tcPr>
            <w:tcW w:type="dxa" w:w="785"/>
            <w:vAlign w:val="center"/>
          </w:tcPr>
          <w:p>
            <w:r>
              <w:rPr>
                <w:sz w:val="20"/>
              </w:rPr>
              <w:t>12</w:t>
            </w:r>
          </w:p>
        </w:tc>
        <w:tc>
          <w:tcPr>
            <w:tcW w:type="dxa" w:w="785"/>
            <w:vAlign w:val="center"/>
          </w:tcPr>
          <w:p>
            <w:r>
              <w:rPr>
                <w:sz w:val="20"/>
              </w:rPr>
              <w:t>0.02649</w:t>
            </w:r>
          </w:p>
        </w:tc>
        <w:tc>
          <w:tcPr>
            <w:tcW w:type="dxa" w:w="785"/>
            <w:vAlign w:val="center"/>
          </w:tcPr>
          <w:p>
            <w:r>
              <w:rPr>
                <w:sz w:val="20"/>
              </w:rPr>
              <w:t>0.192874</w:t>
            </w:r>
          </w:p>
        </w:tc>
        <w:tc>
          <w:tcPr>
            <w:tcW w:type="dxa" w:w="785"/>
            <w:vAlign w:val="center"/>
          </w:tcPr>
          <w:p>
            <w:r>
              <w:rPr>
                <w:sz w:val="20"/>
              </w:rPr>
              <w:t>0.942605</w:t>
            </w:r>
          </w:p>
        </w:tc>
        <w:tc>
          <w:tcPr>
            <w:tcW w:type="dxa" w:w="785"/>
            <w:vAlign w:val="center"/>
          </w:tcPr>
          <w:p>
            <w:r>
              <w:rPr>
                <w:sz w:val="20"/>
              </w:rPr>
              <w:t>0.982219</w:t>
            </w:r>
          </w:p>
        </w:tc>
        <w:tc>
          <w:tcPr>
            <w:tcW w:type="dxa" w:w="785"/>
            <w:vAlign w:val="center"/>
          </w:tcPr>
          <w:p>
            <w:r>
              <w:rPr>
                <w:sz w:val="20"/>
              </w:rPr>
              <w:t>PASS</w:t>
            </w:r>
          </w:p>
        </w:tc>
        <w:tc>
          <w:tcPr>
            <w:tcW w:type="dxa" w:w="785"/>
            <w:vAlign w:val="center"/>
          </w:tcPr>
          <w:p>
            <w:r>
              <w:rPr>
                <w:sz w:val="20"/>
              </w:rPr>
              <w:t>booked_holdout</w:t>
            </w:r>
          </w:p>
        </w:tc>
      </w:tr>
    </w:tbl>
    <w:p>
      <w:r>
        <w:rPr>
          <w:b w:val="0"/>
          <w:i/>
          <w:sz w:val="22"/>
        </w:rPr>
        <w:t>Bands flagged below the 80% Adverse Impact Ratio threshold warrant human review of the underlying feature dependencies before production deployment.</w:t>
      </w:r>
    </w:p>
    <w:p>
      <w:r>
        <w:br w:type="page"/>
      </w:r>
    </w:p>
    <w:p>
      <w:pPr>
        <w:pStyle w:val="Heading1"/>
      </w:pPr>
      <w:r>
        <w:rPr>
          <w:color w:val="1F3A68"/>
        </w:rPr>
        <w:t>17.  Limitations and Known Issues</w:t>
      </w:r>
    </w:p>
    <w:p>
      <w:pPr>
        <w:pStyle w:val="ListBullet"/>
      </w:pPr>
      <w:r>
        <w:rPr>
          <w:sz w:val="22"/>
        </w:rPr>
        <w:t>Booked-only proxy. The test sample is restricted to booked accounts because basel_bad is only observable for accounts that were actually decisioned positively. Performance on rejected and canceled applicants is inferred via reject-inference assumptions, not directly observed.</w:t>
      </w:r>
    </w:p>
    <w:p>
      <w:pPr>
        <w:pStyle w:val="ListBullet"/>
      </w:pPr>
      <w:r>
        <w:rPr>
          <w:sz w:val="22"/>
        </w:rPr>
        <w:t>Maturity contract drift. The latest run's training data contained approximately 34,000 booked rows past the static MATURITY_CUTOFF with non-null basel_bad. The static-cutoff filter excluded these rows from training and the warning was logged. A reviewer should decide whether MATURITY_CUTOFF should be advanced (to use newly-matured data) or whether upstream is right-censoring (filling 0 for immature rows before the 12-month window has elapsed).</w:t>
      </w:r>
    </w:p>
    <w:p>
      <w:pPr>
        <w:pStyle w:val="ListBullet"/>
      </w:pPr>
      <w:r>
        <w:rPr>
          <w:sz w:val="22"/>
        </w:rPr>
        <w:t>Adverse-impact warning at age band 18-25. Every candidate model (including the recommended LR) has an Adverse Impact Ratio below the 80% threshold for the 18-25 band at the 10% rejection threshold. This is a feature-driven artifact (the underlying default rate is structurally higher in this band) but warrants explicit fair-lending review before any production deployment decision.</w:t>
      </w:r>
    </w:p>
    <w:p>
      <w:pPr>
        <w:pStyle w:val="ListBullet"/>
      </w:pPr>
      <w:r>
        <w:rPr>
          <w:sz w:val="22"/>
        </w:rPr>
        <w:t>Feature-data ceiling vs current benchmark. The pipeline does not out-perform the existing risk_score_rf score on the high-precision tail of the test distribution. Detailed analysis (section 13) shows the gap is structural — risk_score_rf uses signals not present in the modelling feature set. Closing the gap requires obtaining the external/bureau data the existing score uses, or repositioning the trained model as a complementary rather than replacement signal.</w:t>
      </w:r>
    </w:p>
    <w:p>
      <w:pPr>
        <w:pStyle w:val="ListBullet"/>
      </w:pPr>
      <w:r>
        <w:rPr>
          <w:sz w:val="22"/>
        </w:rPr>
        <w:t>Stacking is experimental. The TemporalStackingClassifier is supported but not enabled in the official run. When enabled, it is correctly trained on temporal out-of-fold predictions, but it has not been validated against the same regulator-defensibility bar as the five official candidates.</w:t>
      </w:r>
    </w:p>
    <w:p>
      <w:r>
        <w:br w:type="page"/>
      </w:r>
    </w:p>
    <w:p>
      <w:pPr>
        <w:pStyle w:val="Heading1"/>
      </w:pPr>
      <w:r>
        <w:rPr>
          <w:color w:val="1F3A68"/>
        </w:rPr>
        <w:t>18.  Recommendations</w:t>
      </w:r>
    </w:p>
    <w:p>
      <w:r>
        <w:rPr>
          <w:b/>
          <w:i w:val="0"/>
          <w:sz w:val="22"/>
        </w:rPr>
        <w:t>Production candidate. Logistic Regression (calibrated) is the recommended production candidate at weighted_score 95.0 / 100. 4 of 5 candidates cleared the absolute weighted-score floor of 50. Logistic Regression is uniquely placed at benchmark-evidence tier 3 ('strong'). The lexicographic tiebreak inside the selection band prefers benchmark-evidence tier first, then conservative AUC lift, then generalisation score, which selected Logistic Regression over the other candidates that cleared the floor.</w:t>
      </w:r>
    </w:p>
    <w:p>
      <w:r>
        <w:rPr>
          <w:b/>
          <w:i w:val="0"/>
          <w:sz w:val="24"/>
        </w:rPr>
        <w:t>Path to closing the benchmark gap</w:t>
      </w:r>
    </w:p>
    <w:p>
      <w:pPr>
        <w:pStyle w:val="ListBullet"/>
      </w:pPr>
      <w:r>
        <w:rPr>
          <w:sz w:val="22"/>
        </w:rPr>
        <w:t>Operationally: obtain the same data the existing risk_score_rf benchmark uses (bureau / external payment history / proprietary signals) and re-run the pipeline. This is the only path to genuinely beating risk_score_rf on its own ground.</w:t>
      </w:r>
    </w:p>
    <w:p>
      <w:pPr>
        <w:pStyle w:val="ListBullet"/>
      </w:pPr>
      <w:r>
        <w:rPr>
          <w:sz w:val="22"/>
        </w:rPr>
        <w:t>Architecturally: consider reusing risk_score_rf as a feature in a stacked model (remove from DROP_COLS). The trained model would then be at least as good as the benchmark and could extract residual signal. The trade-off: the new model becomes operationally dependent on the older score remaining available.</w:t>
      </w:r>
    </w:p>
    <w:p>
      <w:pPr>
        <w:pStyle w:val="ListBullet"/>
      </w:pPr>
      <w:r>
        <w:rPr>
          <w:sz w:val="22"/>
        </w:rPr>
        <w:t>Operationally complementary: position the new model as a second-line check on applicants the existing score is ambivalent about (mid-range score percentiles), or as a backup when the bureau feed is unavailable. The 50%+ of the score distribution where the trained model wins on lift suggests this fit may be the most defensible.</w:t>
      </w:r>
    </w:p>
    <w:p>
      <w:r>
        <w:rPr>
          <w:b/>
          <w:i w:val="0"/>
          <w:sz w:val="24"/>
        </w:rPr>
        <w:t>Monitoring requirements</w:t>
      </w:r>
    </w:p>
    <w:p>
      <w:pPr>
        <w:pStyle w:val="ListBullet"/>
      </w:pPr>
      <w:r>
        <w:rPr>
          <w:sz w:val="22"/>
        </w:rPr>
        <w:t>Re-train on a quarterly cadence; CSI and PSI thresholds in training_constants.py determine alert bands.</w:t>
      </w:r>
    </w:p>
    <w:p>
      <w:pPr>
        <w:pStyle w:val="ListBullet"/>
      </w:pPr>
      <w:r>
        <w:rPr>
          <w:sz w:val="22"/>
        </w:rPr>
        <w:t>Monitor the calibrated Brier on a monthly basis on a recent matured cohort. Any drift above the bootstrap CI upper bound triggers an investigation.</w:t>
      </w:r>
    </w:p>
    <w:p>
      <w:pPr>
        <w:pStyle w:val="ListBullet"/>
      </w:pPr>
      <w:r>
        <w:rPr>
          <w:sz w:val="22"/>
        </w:rPr>
        <w:t>Re-validate the AIR by age band on each retraining run; persistent below-80% bands trigger fair-lending review.</w:t>
      </w:r>
    </w:p>
    <w:p>
      <w:pPr>
        <w:pStyle w:val="ListBullet"/>
      </w:pPr>
      <w:r>
        <w:rPr>
          <w:sz w:val="22"/>
        </w:rPr>
        <w:t>Verify the integrity of deployed model files via the SHA-256 checksums.json written alongside each .joblib at training time. ScoringService.from_output_dir refuses to load a model whose checksum does not match.</w:t>
      </w:r>
    </w:p>
    <w:p>
      <w:r>
        <w:br w:type="page"/>
      </w:r>
    </w:p>
    <w:p>
      <w:pPr>
        <w:pStyle w:val="Heading1"/>
      </w:pPr>
      <w:r>
        <w:rPr>
          <w:color w:val="1F3A68"/>
        </w:rPr>
        <w:t>19.  Methodology Constants — Citations and Rationale</w:t>
      </w:r>
    </w:p>
    <w:p>
      <w:r>
        <w:rPr>
          <w:b/>
          <w:i w:val="0"/>
          <w:sz w:val="24"/>
        </w:rPr>
        <w:t>Diagnostic thresholds</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3456"/>
            <w:shd w:val="clear" w:color="auto" w:fill="1F3A68"/>
          </w:tcPr>
          <w:p>
            <w:r>
              <w:rPr>
                <w:b/>
                <w:color w:val="FFFFFF"/>
                <w:sz w:val="20"/>
              </w:rPr>
              <w:t>Constant</w:t>
            </w:r>
          </w:p>
        </w:tc>
        <w:tc>
          <w:tcPr>
            <w:tcW w:type="dxa" w:w="2304"/>
            <w:shd w:val="clear" w:color="auto" w:fill="1F3A68"/>
          </w:tcPr>
          <w:p>
            <w:r>
              <w:rPr>
                <w:b/>
                <w:color w:val="FFFFFF"/>
                <w:sz w:val="20"/>
              </w:rPr>
              <w:t>Value</w:t>
            </w:r>
          </w:p>
        </w:tc>
        <w:tc>
          <w:tcPr>
            <w:tcW w:type="dxa" w:w="5040"/>
            <w:shd w:val="clear" w:color="auto" w:fill="1F3A68"/>
          </w:tcPr>
          <w:p>
            <w:r>
              <w:rPr>
                <w:b/>
                <w:color w:val="FFFFFF"/>
                <w:sz w:val="20"/>
              </w:rPr>
              <w:t>Source / rationale</w:t>
            </w:r>
          </w:p>
        </w:tc>
      </w:tr>
      <w:tr>
        <w:tc>
          <w:tcPr>
            <w:tcW w:type="dxa" w:w="3456"/>
            <w:vAlign w:val="center"/>
          </w:tcPr>
          <w:p>
            <w:r>
              <w:rPr>
                <w:sz w:val="20"/>
              </w:rPr>
              <w:t>PSI moderate-drift cut</w:t>
            </w:r>
          </w:p>
        </w:tc>
        <w:tc>
          <w:tcPr>
            <w:tcW w:type="dxa" w:w="2304"/>
            <w:vAlign w:val="center"/>
          </w:tcPr>
          <w:p>
            <w:r>
              <w:rPr>
                <w:sz w:val="20"/>
              </w:rPr>
              <w:t>0.10</w:t>
            </w:r>
          </w:p>
        </w:tc>
        <w:tc>
          <w:tcPr>
            <w:tcW w:type="dxa" w:w="5040"/>
            <w:vAlign w:val="center"/>
          </w:tcPr>
          <w:p>
            <w:r>
              <w:rPr>
                <w:sz w:val="20"/>
              </w:rPr>
              <w:t>Karakoulas (2004); industry standard</w:t>
            </w:r>
          </w:p>
        </w:tc>
      </w:tr>
      <w:tr>
        <w:tc>
          <w:tcPr>
            <w:tcW w:type="dxa" w:w="3456"/>
            <w:vAlign w:val="center"/>
          </w:tcPr>
          <w:p>
            <w:r>
              <w:rPr>
                <w:sz w:val="20"/>
              </w:rPr>
              <w:t>PSI high-drift cut</w:t>
            </w:r>
          </w:p>
        </w:tc>
        <w:tc>
          <w:tcPr>
            <w:tcW w:type="dxa" w:w="2304"/>
            <w:vAlign w:val="center"/>
          </w:tcPr>
          <w:p>
            <w:r>
              <w:rPr>
                <w:sz w:val="20"/>
              </w:rPr>
              <w:t>0.25</w:t>
            </w:r>
          </w:p>
        </w:tc>
        <w:tc>
          <w:tcPr>
            <w:tcW w:type="dxa" w:w="5040"/>
            <w:vAlign w:val="center"/>
          </w:tcPr>
          <w:p>
            <w:r>
              <w:rPr>
                <w:sz w:val="20"/>
              </w:rPr>
              <w:t>Karakoulas (2004); industry standard</w:t>
            </w:r>
          </w:p>
        </w:tc>
      </w:tr>
      <w:tr>
        <w:tc>
          <w:tcPr>
            <w:tcW w:type="dxa" w:w="3456"/>
            <w:vAlign w:val="center"/>
          </w:tcPr>
          <w:p>
            <w:r>
              <w:rPr>
                <w:sz w:val="20"/>
              </w:rPr>
              <w:t>Overfit flag delta</w:t>
            </w:r>
          </w:p>
        </w:tc>
        <w:tc>
          <w:tcPr>
            <w:tcW w:type="dxa" w:w="2304"/>
            <w:vAlign w:val="center"/>
          </w:tcPr>
          <w:p>
            <w:r>
              <w:rPr>
                <w:sz w:val="20"/>
              </w:rPr>
              <w:t>0.03</w:t>
            </w:r>
          </w:p>
        </w:tc>
        <w:tc>
          <w:tcPr>
            <w:tcW w:type="dxa" w:w="5040"/>
            <w:vAlign w:val="center"/>
          </w:tcPr>
          <w:p>
            <w:r>
              <w:rPr>
                <w:sz w:val="20"/>
              </w:rPr>
              <w:t>Internal decision; deliberately strict relative to industry rule of thumb 0.05</w:t>
            </w:r>
          </w:p>
        </w:tc>
      </w:tr>
      <w:tr>
        <w:tc>
          <w:tcPr>
            <w:tcW w:type="dxa" w:w="3456"/>
            <w:vAlign w:val="center"/>
          </w:tcPr>
          <w:p>
            <w:r>
              <w:rPr>
                <w:sz w:val="20"/>
              </w:rPr>
              <w:t>Concept-drift first-vs-last delta</w:t>
            </w:r>
          </w:p>
        </w:tc>
        <w:tc>
          <w:tcPr>
            <w:tcW w:type="dxa" w:w="2304"/>
            <w:vAlign w:val="center"/>
          </w:tcPr>
          <w:p>
            <w:r>
              <w:rPr>
                <w:sz w:val="20"/>
              </w:rPr>
              <w:t>−0.02</w:t>
            </w:r>
          </w:p>
        </w:tc>
        <w:tc>
          <w:tcPr>
            <w:tcW w:type="dxa" w:w="5040"/>
            <w:vAlign w:val="center"/>
          </w:tcPr>
          <w:p>
            <w:r>
              <w:rPr>
                <w:sz w:val="20"/>
              </w:rPr>
              <w:t>Internal decision; only severe drift across rolling-OOT triggers the flag</w:t>
            </w:r>
          </w:p>
        </w:tc>
      </w:tr>
    </w:tbl>
    <w:p>
      <w:r>
        <w:rPr>
          <w:b/>
          <w:i w:val="0"/>
          <w:sz w:val="24"/>
        </w:rPr>
        <w:t>Reject inference (when enabled)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3456"/>
            <w:shd w:val="clear" w:color="auto" w:fill="1F3A68"/>
          </w:tcPr>
          <w:p>
            <w:r>
              <w:rPr>
                <w:b/>
                <w:color w:val="FFFFFF"/>
                <w:sz w:val="20"/>
              </w:rPr>
              <w:t>Constant</w:t>
            </w:r>
          </w:p>
        </w:tc>
        <w:tc>
          <w:tcPr>
            <w:tcW w:type="dxa" w:w="2304"/>
            <w:shd w:val="clear" w:color="auto" w:fill="1F3A68"/>
          </w:tcPr>
          <w:p>
            <w:r>
              <w:rPr>
                <w:b/>
                <w:color w:val="FFFFFF"/>
                <w:sz w:val="20"/>
              </w:rPr>
              <w:t>Value</w:t>
            </w:r>
          </w:p>
        </w:tc>
        <w:tc>
          <w:tcPr>
            <w:tcW w:type="dxa" w:w="5040"/>
            <w:shd w:val="clear" w:color="auto" w:fill="1F3A68"/>
          </w:tcPr>
          <w:p>
            <w:r>
              <w:rPr>
                <w:b/>
                <w:color w:val="FFFFFF"/>
                <w:sz w:val="20"/>
              </w:rPr>
              <w:t>Source / rationale</w:t>
            </w:r>
          </w:p>
        </w:tc>
      </w:tr>
      <w:tr>
        <w:tc>
          <w:tcPr>
            <w:tcW w:type="dxa" w:w="3456"/>
            <w:vAlign w:val="center"/>
          </w:tcPr>
          <w:p>
            <w:r>
              <w:rPr>
                <w:sz w:val="20"/>
              </w:rPr>
              <w:t>Bad-rate multiplier</w:t>
            </w:r>
          </w:p>
        </w:tc>
        <w:tc>
          <w:tcPr>
            <w:tcW w:type="dxa" w:w="2304"/>
            <w:vAlign w:val="center"/>
          </w:tcPr>
          <w:p>
            <w:r>
              <w:rPr>
                <w:sz w:val="20"/>
              </w:rPr>
              <w:t>1.5×</w:t>
            </w:r>
          </w:p>
        </w:tc>
        <w:tc>
          <w:tcPr>
            <w:tcW w:type="dxa" w:w="5040"/>
            <w:vAlign w:val="center"/>
          </w:tcPr>
          <w:p>
            <w:r>
              <w:rPr>
                <w:sz w:val="20"/>
              </w:rPr>
              <w:t>Hand &amp; Henley (1997); conservative end of the 1.5–4× literature range</w:t>
            </w:r>
          </w:p>
        </w:tc>
      </w:tr>
      <w:tr>
        <w:tc>
          <w:tcPr>
            <w:tcW w:type="dxa" w:w="3456"/>
            <w:vAlign w:val="center"/>
          </w:tcPr>
          <w:p>
            <w:r>
              <w:rPr>
                <w:sz w:val="20"/>
              </w:rPr>
              <w:t>Sample weight on pseudo-labels</w:t>
            </w:r>
          </w:p>
        </w:tc>
        <w:tc>
          <w:tcPr>
            <w:tcW w:type="dxa" w:w="2304"/>
            <w:vAlign w:val="center"/>
          </w:tcPr>
          <w:p>
            <w:r>
              <w:rPr>
                <w:sz w:val="20"/>
              </w:rPr>
              <w:t>0.5</w:t>
            </w:r>
          </w:p>
        </w:tc>
        <w:tc>
          <w:tcPr>
            <w:tcW w:type="dxa" w:w="5040"/>
            <w:vAlign w:val="center"/>
          </w:tcPr>
          <w:p>
            <w:r>
              <w:rPr>
                <w:sz w:val="20"/>
              </w:rPr>
              <w:t>Internal decision; downweights pseudo-labels relative to observed targets</w:t>
            </w:r>
          </w:p>
        </w:tc>
      </w:tr>
      <w:tr>
        <w:tc>
          <w:tcPr>
            <w:tcW w:type="dxa" w:w="3456"/>
            <w:vAlign w:val="center"/>
          </w:tcPr>
          <w:p>
            <w:r>
              <w:rPr>
                <w:sz w:val="20"/>
              </w:rPr>
              <w:t>Max booked:reject ratio</w:t>
            </w:r>
          </w:p>
        </w:tc>
        <w:tc>
          <w:tcPr>
            <w:tcW w:type="dxa" w:w="2304"/>
            <w:vAlign w:val="center"/>
          </w:tcPr>
          <w:p>
            <w:r>
              <w:rPr>
                <w:sz w:val="20"/>
              </w:rPr>
              <w:t>1.0:1 applicants</w:t>
            </w:r>
          </w:p>
        </w:tc>
        <w:tc>
          <w:tcPr>
            <w:tcW w:type="dxa" w:w="5040"/>
            <w:vAlign w:val="center"/>
          </w:tcPr>
          <w:p>
            <w:r>
              <w:rPr>
                <w:sz w:val="20"/>
              </w:rPr>
              <w:t>Internal decision; capped at parity post deterministic 2× row expansion (audit fix I)</w:t>
            </w:r>
          </w:p>
        </w:tc>
      </w:tr>
    </w:tbl>
    <w:p>
      <w:r>
        <w:rPr>
          <w:b/>
          <w:i w:val="0"/>
          <w:sz w:val="24"/>
        </w:rPr>
        <w:t>Feature selection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3456"/>
            <w:shd w:val="clear" w:color="auto" w:fill="1F3A68"/>
          </w:tcPr>
          <w:p>
            <w:r>
              <w:rPr>
                <w:b/>
                <w:color w:val="FFFFFF"/>
                <w:sz w:val="20"/>
              </w:rPr>
              <w:t>Constant</w:t>
            </w:r>
          </w:p>
        </w:tc>
        <w:tc>
          <w:tcPr>
            <w:tcW w:type="dxa" w:w="2304"/>
            <w:shd w:val="clear" w:color="auto" w:fill="1F3A68"/>
          </w:tcPr>
          <w:p>
            <w:r>
              <w:rPr>
                <w:b/>
                <w:color w:val="FFFFFF"/>
                <w:sz w:val="20"/>
              </w:rPr>
              <w:t>Value</w:t>
            </w:r>
          </w:p>
        </w:tc>
        <w:tc>
          <w:tcPr>
            <w:tcW w:type="dxa" w:w="5040"/>
            <w:shd w:val="clear" w:color="auto" w:fill="1F3A68"/>
          </w:tcPr>
          <w:p>
            <w:r>
              <w:rPr>
                <w:b/>
                <w:color w:val="FFFFFF"/>
                <w:sz w:val="20"/>
              </w:rPr>
              <w:t>Source / rationale</w:t>
            </w:r>
          </w:p>
        </w:tc>
      </w:tr>
      <w:tr>
        <w:tc>
          <w:tcPr>
            <w:tcW w:type="dxa" w:w="3456"/>
            <w:vAlign w:val="center"/>
          </w:tcPr>
          <w:p>
            <w:r>
              <w:rPr>
                <w:sz w:val="20"/>
              </w:rPr>
              <w:t>Stability selection threshold</w:t>
            </w:r>
          </w:p>
        </w:tc>
        <w:tc>
          <w:tcPr>
            <w:tcW w:type="dxa" w:w="2304"/>
            <w:vAlign w:val="center"/>
          </w:tcPr>
          <w:p>
            <w:r>
              <w:rPr>
                <w:sz w:val="20"/>
              </w:rPr>
              <w:t>50% of folds</w:t>
            </w:r>
          </w:p>
        </w:tc>
        <w:tc>
          <w:tcPr>
            <w:tcW w:type="dxa" w:w="5040"/>
            <w:vAlign w:val="center"/>
          </w:tcPr>
          <w:p>
            <w:r>
              <w:rPr>
                <w:sz w:val="20"/>
              </w:rPr>
              <w:t>Meinshausen &amp; Bühlmann (2010); literature default</w:t>
            </w:r>
          </w:p>
        </w:tc>
      </w:tr>
      <w:tr>
        <w:tc>
          <w:tcPr>
            <w:tcW w:type="dxa" w:w="3456"/>
            <w:vAlign w:val="center"/>
          </w:tcPr>
          <w:p>
            <w:r>
              <w:rPr>
                <w:sz w:val="20"/>
              </w:rPr>
              <w:t>Stability selection floor</w:t>
            </w:r>
          </w:p>
        </w:tc>
        <w:tc>
          <w:tcPr>
            <w:tcW w:type="dxa" w:w="2304"/>
            <w:vAlign w:val="center"/>
          </w:tcPr>
          <w:p>
            <w:r>
              <w:rPr>
                <w:sz w:val="20"/>
              </w:rPr>
              <w:t>5 features</w:t>
            </w:r>
          </w:p>
        </w:tc>
        <w:tc>
          <w:tcPr>
            <w:tcW w:type="dxa" w:w="5040"/>
            <w:vAlign w:val="center"/>
          </w:tcPr>
          <w:p>
            <w:r>
              <w:rPr>
                <w:sz w:val="20"/>
              </w:rPr>
              <w:t>Internal decision; below 5 the linear meta-model is unidentifiable</w:t>
            </w:r>
          </w:p>
        </w:tc>
      </w:tr>
      <w:tr>
        <w:tc>
          <w:tcPr>
            <w:tcW w:type="dxa" w:w="3456"/>
            <w:vAlign w:val="center"/>
          </w:tcPr>
          <w:p>
            <w:r>
              <w:rPr>
                <w:sz w:val="20"/>
              </w:rPr>
              <w:t>Tree-aware importance ratio</w:t>
            </w:r>
          </w:p>
        </w:tc>
        <w:tc>
          <w:tcPr>
            <w:tcW w:type="dxa" w:w="2304"/>
            <w:vAlign w:val="center"/>
          </w:tcPr>
          <w:p>
            <w:r>
              <w:rPr>
                <w:sz w:val="20"/>
              </w:rPr>
              <w:t>5% of max permutation importance</w:t>
            </w:r>
          </w:p>
        </w:tc>
        <w:tc>
          <w:tcPr>
            <w:tcW w:type="dxa" w:w="5040"/>
            <w:vAlign w:val="center"/>
          </w:tcPr>
          <w:p>
            <w:r>
              <w:rPr>
                <w:sz w:val="20"/>
              </w:rPr>
              <w:t>Internal decision (audit fix B); union with stability selector forms the final contract</w:t>
            </w:r>
          </w:p>
        </w:tc>
      </w:tr>
    </w:tbl>
    <w:p>
      <w:r>
        <w:rPr>
          <w:b/>
          <w:i w:val="0"/>
          <w:sz w:val="24"/>
        </w:rPr>
        <w:t>Calibration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3456"/>
            <w:shd w:val="clear" w:color="auto" w:fill="1F3A68"/>
          </w:tcPr>
          <w:p>
            <w:r>
              <w:rPr>
                <w:b/>
                <w:color w:val="FFFFFF"/>
                <w:sz w:val="20"/>
              </w:rPr>
              <w:t>Constant</w:t>
            </w:r>
          </w:p>
        </w:tc>
        <w:tc>
          <w:tcPr>
            <w:tcW w:type="dxa" w:w="2304"/>
            <w:shd w:val="clear" w:color="auto" w:fill="1F3A68"/>
          </w:tcPr>
          <w:p>
            <w:r>
              <w:rPr>
                <w:b/>
                <w:color w:val="FFFFFF"/>
                <w:sz w:val="20"/>
              </w:rPr>
              <w:t>Value</w:t>
            </w:r>
          </w:p>
        </w:tc>
        <w:tc>
          <w:tcPr>
            <w:tcW w:type="dxa" w:w="5040"/>
            <w:shd w:val="clear" w:color="auto" w:fill="1F3A68"/>
          </w:tcPr>
          <w:p>
            <w:r>
              <w:rPr>
                <w:b/>
                <w:color w:val="FFFFFF"/>
                <w:sz w:val="20"/>
              </w:rPr>
              <w:t>Source / rationale</w:t>
            </w:r>
          </w:p>
        </w:tc>
      </w:tr>
      <w:tr>
        <w:tc>
          <w:tcPr>
            <w:tcW w:type="dxa" w:w="3456"/>
            <w:vAlign w:val="center"/>
          </w:tcPr>
          <w:p>
            <w:r>
              <w:rPr>
                <w:sz w:val="20"/>
              </w:rPr>
              <w:t>Calibration holdout fraction</w:t>
            </w:r>
          </w:p>
        </w:tc>
        <w:tc>
          <w:tcPr>
            <w:tcW w:type="dxa" w:w="2304"/>
            <w:vAlign w:val="center"/>
          </w:tcPr>
          <w:p>
            <w:r>
              <w:rPr>
                <w:sz w:val="20"/>
              </w:rPr>
              <w:t>15% of development sample</w:t>
            </w:r>
          </w:p>
        </w:tc>
        <w:tc>
          <w:tcPr>
            <w:tcW w:type="dxa" w:w="5040"/>
            <w:vAlign w:val="center"/>
          </w:tcPr>
          <w:p>
            <w:r>
              <w:rPr>
                <w:sz w:val="20"/>
              </w:rPr>
              <w:t>Internal decision; carved temporally so calibration data resembles production</w:t>
            </w:r>
          </w:p>
        </w:tc>
      </w:tr>
      <w:tr>
        <w:tc>
          <w:tcPr>
            <w:tcW w:type="dxa" w:w="3456"/>
            <w:vAlign w:val="center"/>
          </w:tcPr>
          <w:p>
            <w:r>
              <w:rPr>
                <w:sz w:val="20"/>
              </w:rPr>
              <w:t>Min calibration positives</w:t>
            </w:r>
          </w:p>
        </w:tc>
        <w:tc>
          <w:tcPr>
            <w:tcW w:type="dxa" w:w="2304"/>
            <w:vAlign w:val="center"/>
          </w:tcPr>
          <w:p>
            <w:r>
              <w:rPr>
                <w:sz w:val="20"/>
              </w:rPr>
              <w:t>100</w:t>
            </w:r>
          </w:p>
        </w:tc>
        <w:tc>
          <w:tcPr>
            <w:tcW w:type="dxa" w:w="5040"/>
            <w:vAlign w:val="center"/>
          </w:tcPr>
          <w:p>
            <w:r>
              <w:rPr>
                <w:sz w:val="20"/>
              </w:rPr>
              <w:t>Niculescu-Mizil &amp; Caruana (2005), Foster &amp; Stine (2004)</w:t>
            </w:r>
          </w:p>
        </w:tc>
      </w:tr>
      <w:tr>
        <w:tc>
          <w:tcPr>
            <w:tcW w:type="dxa" w:w="3456"/>
            <w:vAlign w:val="center"/>
          </w:tcPr>
          <w:p>
            <w:r>
              <w:rPr>
                <w:sz w:val="20"/>
              </w:rPr>
              <w:t>Per-model method</w:t>
            </w:r>
          </w:p>
        </w:tc>
        <w:tc>
          <w:tcPr>
            <w:tcW w:type="dxa" w:w="2304"/>
            <w:vAlign w:val="center"/>
          </w:tcPr>
          <w:p>
            <w:r>
              <w:rPr>
                <w:sz w:val="20"/>
              </w:rPr>
              <w:t>sigmoid for LR, EBM; isotonic for tree models</w:t>
            </w:r>
          </w:p>
        </w:tc>
        <w:tc>
          <w:tcPr>
            <w:tcW w:type="dxa" w:w="5040"/>
            <w:vAlign w:val="center"/>
          </w:tcPr>
          <w:p>
            <w:r>
              <w:rPr>
                <w:sz w:val="20"/>
              </w:rPr>
              <w:t>Niculescu-Mizil &amp; Caruana (2005), audit fix E</w:t>
            </w:r>
          </w:p>
        </w:tc>
      </w:tr>
    </w:tbl>
    <w:p>
      <w:r>
        <w:rPr>
          <w:b/>
          <w:i w:val="0"/>
          <w:sz w:val="24"/>
        </w:rPr>
        <w:t>Hyperparameter search</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3456"/>
            <w:shd w:val="clear" w:color="auto" w:fill="1F3A68"/>
          </w:tcPr>
          <w:p>
            <w:r>
              <w:rPr>
                <w:b/>
                <w:color w:val="FFFFFF"/>
                <w:sz w:val="20"/>
              </w:rPr>
              <w:t>Constant</w:t>
            </w:r>
          </w:p>
        </w:tc>
        <w:tc>
          <w:tcPr>
            <w:tcW w:type="dxa" w:w="2304"/>
            <w:shd w:val="clear" w:color="auto" w:fill="1F3A68"/>
          </w:tcPr>
          <w:p>
            <w:r>
              <w:rPr>
                <w:b/>
                <w:color w:val="FFFFFF"/>
                <w:sz w:val="20"/>
              </w:rPr>
              <w:t>Value</w:t>
            </w:r>
          </w:p>
        </w:tc>
        <w:tc>
          <w:tcPr>
            <w:tcW w:type="dxa" w:w="5040"/>
            <w:shd w:val="clear" w:color="auto" w:fill="1F3A68"/>
          </w:tcPr>
          <w:p>
            <w:r>
              <w:rPr>
                <w:b/>
                <w:color w:val="FFFFFF"/>
                <w:sz w:val="20"/>
              </w:rPr>
              <w:t>Source / rationale</w:t>
            </w:r>
          </w:p>
        </w:tc>
      </w:tr>
      <w:tr>
        <w:tc>
          <w:tcPr>
            <w:tcW w:type="dxa" w:w="3456"/>
            <w:vAlign w:val="center"/>
          </w:tcPr>
          <w:p>
            <w:r>
              <w:rPr>
                <w:sz w:val="20"/>
              </w:rPr>
              <w:t>Optuna pruner warmup</w:t>
            </w:r>
          </w:p>
        </w:tc>
        <w:tc>
          <w:tcPr>
            <w:tcW w:type="dxa" w:w="2304"/>
            <w:vAlign w:val="center"/>
          </w:tcPr>
          <w:p>
            <w:r>
              <w:rPr>
                <w:sz w:val="20"/>
              </w:rPr>
              <w:t>3 CV folds</w:t>
            </w:r>
          </w:p>
        </w:tc>
        <w:tc>
          <w:tcPr>
            <w:tcW w:type="dxa" w:w="5040"/>
            <w:vAlign w:val="center"/>
          </w:tcPr>
          <w:p>
            <w:r>
              <w:rPr>
                <w:sz w:val="20"/>
              </w:rPr>
              <w:t>Internal decision (audit fix J); first temporal fold is smallest and noisiest</w:t>
            </w:r>
          </w:p>
        </w:tc>
      </w:tr>
      <w:tr>
        <w:tc>
          <w:tcPr>
            <w:tcW w:type="dxa" w:w="3456"/>
            <w:vAlign w:val="center"/>
          </w:tcPr>
          <w:p>
            <w:r>
              <w:rPr>
                <w:sz w:val="20"/>
              </w:rPr>
              <w:t>Booster depth bounds</w:t>
            </w:r>
          </w:p>
        </w:tc>
        <w:tc>
          <w:tcPr>
            <w:tcW w:type="dxa" w:w="2304"/>
            <w:vAlign w:val="center"/>
          </w:tcPr>
          <w:p>
            <w:r>
              <w:rPr>
                <w:sz w:val="20"/>
              </w:rPr>
              <w:t>[3, 7]</w:t>
            </w:r>
          </w:p>
        </w:tc>
        <w:tc>
          <w:tcPr>
            <w:tcW w:type="dxa" w:w="5040"/>
            <w:vAlign w:val="center"/>
          </w:tcPr>
          <w:p>
            <w:r>
              <w:rPr>
                <w:sz w:val="20"/>
              </w:rPr>
              <w:t>Internal decision (audit fix A); previous [2, 4]/[3, 5] forced near-additive trees</w:t>
            </w:r>
          </w:p>
        </w:tc>
      </w:tr>
    </w:tbl>
    <w:p>
      <w:r>
        <w:rPr>
          <w:b/>
          <w:i w:val="0"/>
          <w:sz w:val="24"/>
        </w:rPr>
        <w:t>Model selection</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3456"/>
            <w:shd w:val="clear" w:color="auto" w:fill="1F3A68"/>
          </w:tcPr>
          <w:p>
            <w:r>
              <w:rPr>
                <w:b/>
                <w:color w:val="FFFFFF"/>
                <w:sz w:val="20"/>
              </w:rPr>
              <w:t>Constant</w:t>
            </w:r>
          </w:p>
        </w:tc>
        <w:tc>
          <w:tcPr>
            <w:tcW w:type="dxa" w:w="2304"/>
            <w:shd w:val="clear" w:color="auto" w:fill="1F3A68"/>
          </w:tcPr>
          <w:p>
            <w:r>
              <w:rPr>
                <w:b/>
                <w:color w:val="FFFFFF"/>
                <w:sz w:val="20"/>
              </w:rPr>
              <w:t>Value</w:t>
            </w:r>
          </w:p>
        </w:tc>
        <w:tc>
          <w:tcPr>
            <w:tcW w:type="dxa" w:w="5040"/>
            <w:shd w:val="clear" w:color="auto" w:fill="1F3A68"/>
          </w:tcPr>
          <w:p>
            <w:r>
              <w:rPr>
                <w:b/>
                <w:color w:val="FFFFFF"/>
                <w:sz w:val="20"/>
              </w:rPr>
              <w:t>Source / rationale</w:t>
            </w:r>
          </w:p>
        </w:tc>
      </w:tr>
      <w:tr>
        <w:tc>
          <w:tcPr>
            <w:tcW w:type="dxa" w:w="3456"/>
            <w:vAlign w:val="center"/>
          </w:tcPr>
          <w:p>
            <w:r>
              <w:rPr>
                <w:sz w:val="20"/>
              </w:rPr>
              <w:t>Weighted score breakdown</w:t>
            </w:r>
          </w:p>
        </w:tc>
        <w:tc>
          <w:tcPr>
            <w:tcW w:type="dxa" w:w="2304"/>
            <w:vAlign w:val="center"/>
          </w:tcPr>
          <w:p>
            <w:r>
              <w:rPr>
                <w:sz w:val="20"/>
              </w:rPr>
              <w:t>35% discrimination + 20% stability + 15% calibration + 15% generalisation + 15% benchmark lift</w:t>
            </w:r>
          </w:p>
        </w:tc>
        <w:tc>
          <w:tcPr>
            <w:tcW w:type="dxa" w:w="5040"/>
            <w:vAlign w:val="center"/>
          </w:tcPr>
          <w:p>
            <w:r>
              <w:rPr>
                <w:sz w:val="20"/>
              </w:rPr>
              <w:t>Internal decision; discrimination dominates but generalisation+stability+calibration sum to 50%</w:t>
            </w:r>
          </w:p>
        </w:tc>
      </w:tr>
      <w:tr>
        <w:tc>
          <w:tcPr>
            <w:tcW w:type="dxa" w:w="3456"/>
            <w:vAlign w:val="center"/>
          </w:tcPr>
          <w:p>
            <w:r>
              <w:rPr>
                <w:sz w:val="20"/>
              </w:rPr>
              <w:t>Quality floor</w:t>
            </w:r>
          </w:p>
        </w:tc>
        <w:tc>
          <w:tcPr>
            <w:tcW w:type="dxa" w:w="2304"/>
            <w:vAlign w:val="center"/>
          </w:tcPr>
          <w:p>
            <w:r>
              <w:rPr>
                <w:sz w:val="20"/>
              </w:rPr>
              <w:t>weighted_score ≥ 50</w:t>
            </w:r>
          </w:p>
        </w:tc>
        <w:tc>
          <w:tcPr>
            <w:tcW w:type="dxa" w:w="5040"/>
            <w:vAlign w:val="center"/>
          </w:tcPr>
          <w:p>
            <w:r>
              <w:rPr>
                <w:sz w:val="20"/>
              </w:rPr>
              <w:t>Internal decision (audit fix K); prevents recommending a 'least bad' model when all candidates are weak</w:t>
            </w:r>
          </w:p>
        </w:tc>
      </w:tr>
      <w:tr>
        <w:tc>
          <w:tcPr>
            <w:tcW w:type="dxa" w:w="3456"/>
            <w:vAlign w:val="center"/>
          </w:tcPr>
          <w:p>
            <w:r>
              <w:rPr>
                <w:sz w:val="20"/>
              </w:rPr>
              <w:t>Selection band</w:t>
            </w:r>
          </w:p>
        </w:tc>
        <w:tc>
          <w:tcPr>
            <w:tcW w:type="dxa" w:w="2304"/>
            <w:vAlign w:val="center"/>
          </w:tcPr>
          <w:p>
            <w:r>
              <w:rPr>
                <w:sz w:val="20"/>
              </w:rPr>
              <w:t>2 percentage points</w:t>
            </w:r>
          </w:p>
        </w:tc>
        <w:tc>
          <w:tcPr>
            <w:tcW w:type="dxa" w:w="5040"/>
            <w:vAlign w:val="center"/>
          </w:tcPr>
          <w:p>
            <w:r>
              <w:rPr>
                <w:sz w:val="20"/>
              </w:rPr>
              <w:t>Internal decision; tied candidates within this band tie-break by benchmark evidence and generalisation</w:t>
            </w:r>
          </w:p>
        </w:tc>
      </w:tr>
    </w:tbl>
    <w:p>
      <w:r>
        <w:br w:type="page"/>
      </w:r>
    </w:p>
    <w:p>
      <w:pPr>
        <w:pStyle w:val="Heading1"/>
      </w:pPr>
      <w:r>
        <w:rPr>
          <w:color w:val="1F3A68"/>
        </w:rPr>
        <w:t>20.  Audit Improvements (A–M)</w:t>
      </w:r>
    </w:p>
    <w:p>
      <w:r>
        <w:rPr>
          <w:b w:val="0"/>
          <w:i w:val="0"/>
          <w:sz w:val="22"/>
        </w:rPr>
        <w:t>An external methodology audit produced thirteen recommended improvements. Each is integrated and regression-tested.</w:t>
      </w:r>
    </w:p>
    <w:tbl>
      <w:tblPr>
        <w:tblW w:type="auto" w:w="0"/>
        <w:jc w:val="center"/>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720"/>
            <w:shd w:val="clear" w:color="auto" w:fill="1F3A68"/>
          </w:tcPr>
          <w:p>
            <w:r>
              <w:rPr>
                <w:b/>
                <w:color w:val="FFFFFF"/>
                <w:sz w:val="20"/>
              </w:rPr>
              <w:t>Item</w:t>
            </w:r>
          </w:p>
        </w:tc>
        <w:tc>
          <w:tcPr>
            <w:tcW w:type="dxa" w:w="9360"/>
            <w:shd w:val="clear" w:color="auto" w:fill="1F3A68"/>
          </w:tcPr>
          <w:p>
            <w:r>
              <w:rPr>
                <w:b/>
                <w:color w:val="FFFFFF"/>
                <w:sz w:val="20"/>
              </w:rPr>
              <w:t>Improvement</w:t>
            </w:r>
          </w:p>
        </w:tc>
      </w:tr>
      <w:tr>
        <w:tc>
          <w:tcPr>
            <w:tcW w:type="dxa" w:w="720"/>
            <w:vAlign w:val="center"/>
          </w:tcPr>
          <w:p>
            <w:r>
              <w:rPr>
                <w:sz w:val="20"/>
              </w:rPr>
              <w:t>A</w:t>
            </w:r>
          </w:p>
        </w:tc>
        <w:tc>
          <w:tcPr>
            <w:tcW w:type="dxa" w:w="9360"/>
            <w:vAlign w:val="center"/>
          </w:tcPr>
          <w:p>
            <w:r>
              <w:rPr>
                <w:sz w:val="20"/>
              </w:rPr>
              <w:t>Loosened booster depth bounds to [3, 7] with raised regularisation upper bounds</w:t>
            </w:r>
          </w:p>
        </w:tc>
      </w:tr>
      <w:tr>
        <w:tc>
          <w:tcPr>
            <w:tcW w:type="dxa" w:w="720"/>
            <w:vAlign w:val="center"/>
          </w:tcPr>
          <w:p>
            <w:r>
              <w:rPr>
                <w:sz w:val="20"/>
              </w:rPr>
              <w:t>B</w:t>
            </w:r>
          </w:p>
        </w:tc>
        <w:tc>
          <w:tcPr>
            <w:tcW w:type="dxa" w:w="9360"/>
            <w:vAlign w:val="center"/>
          </w:tcPr>
          <w:p>
            <w:r>
              <w:rPr>
                <w:sz w:val="20"/>
              </w:rPr>
              <w:t>Tree-aware permutation-importance feature pass; final contract = stability ∪ tree-aware</w:t>
            </w:r>
          </w:p>
        </w:tc>
      </w:tr>
      <w:tr>
        <w:tc>
          <w:tcPr>
            <w:tcW w:type="dxa" w:w="720"/>
            <w:vAlign w:val="center"/>
          </w:tcPr>
          <w:p>
            <w:r>
              <w:rPr>
                <w:sz w:val="20"/>
              </w:rPr>
              <w:t>C</w:t>
            </w:r>
          </w:p>
        </w:tc>
        <w:tc>
          <w:tcPr>
            <w:tcW w:type="dxa" w:w="9360"/>
            <w:vAlign w:val="center"/>
          </w:tcPr>
          <w:p>
            <w:r>
              <w:rPr>
                <w:sz w:val="20"/>
              </w:rPr>
              <w:t>Bias-corrected and accelerated (BCa) bootstrap confidence intervals with block jackknife</w:t>
            </w:r>
          </w:p>
        </w:tc>
      </w:tr>
      <w:tr>
        <w:tc>
          <w:tcPr>
            <w:tcW w:type="dxa" w:w="720"/>
            <w:vAlign w:val="center"/>
          </w:tcPr>
          <w:p>
            <w:r>
              <w:rPr>
                <w:sz w:val="20"/>
              </w:rPr>
              <w:t>D</w:t>
            </w:r>
          </w:p>
        </w:tc>
        <w:tc>
          <w:tcPr>
            <w:tcW w:type="dxa" w:w="9360"/>
            <w:vAlign w:val="center"/>
          </w:tcPr>
          <w:p>
            <w:r>
              <w:rPr>
                <w:sz w:val="20"/>
              </w:rPr>
              <w:t>Generalisation penalty uses max(AUC delta, PR-AUC delta)</w:t>
            </w:r>
          </w:p>
        </w:tc>
      </w:tr>
      <w:tr>
        <w:tc>
          <w:tcPr>
            <w:tcW w:type="dxa" w:w="720"/>
            <w:vAlign w:val="center"/>
          </w:tcPr>
          <w:p>
            <w:r>
              <w:rPr>
                <w:sz w:val="20"/>
              </w:rPr>
              <w:t>E</w:t>
            </w:r>
          </w:p>
        </w:tc>
        <w:tc>
          <w:tcPr>
            <w:tcW w:type="dxa" w:w="9360"/>
            <w:vAlign w:val="center"/>
          </w:tcPr>
          <w:p>
            <w:r>
              <w:rPr>
                <w:sz w:val="20"/>
              </w:rPr>
              <w:t>Per-model calibration method centralised; Niculescu-Mizil &amp; Caruana citation in model card</w:t>
            </w:r>
          </w:p>
        </w:tc>
      </w:tr>
      <w:tr>
        <w:tc>
          <w:tcPr>
            <w:tcW w:type="dxa" w:w="720"/>
            <w:vAlign w:val="center"/>
          </w:tcPr>
          <w:p>
            <w:r>
              <w:rPr>
                <w:sz w:val="20"/>
              </w:rPr>
              <w:t>F</w:t>
            </w:r>
          </w:p>
        </w:tc>
        <w:tc>
          <w:tcPr>
            <w:tcW w:type="dxa" w:w="9360"/>
            <w:vAlign w:val="center"/>
          </w:tcPr>
          <w:p>
            <w:r>
              <w:rPr>
                <w:sz w:val="20"/>
              </w:rPr>
              <w:t>Maturity invariant explicit; warns when upstream populates immature targets</w:t>
            </w:r>
          </w:p>
        </w:tc>
      </w:tr>
      <w:tr>
        <w:tc>
          <w:tcPr>
            <w:tcW w:type="dxa" w:w="720"/>
            <w:vAlign w:val="center"/>
          </w:tcPr>
          <w:p>
            <w:r>
              <w:rPr>
                <w:sz w:val="20"/>
              </w:rPr>
              <w:t>G</w:t>
            </w:r>
          </w:p>
        </w:tc>
        <w:tc>
          <w:tcPr>
            <w:tcW w:type="dxa" w:w="9360"/>
            <w:vAlign w:val="center"/>
          </w:tcPr>
          <w:p>
            <w:r>
              <w:rPr>
                <w:sz w:val="20"/>
              </w:rPr>
              <w:t>Calibration-holdout minimum-positives guard with regulator-visible warning below 100</w:t>
            </w:r>
          </w:p>
        </w:tc>
      </w:tr>
      <w:tr>
        <w:tc>
          <w:tcPr>
            <w:tcW w:type="dxa" w:w="720"/>
            <w:vAlign w:val="center"/>
          </w:tcPr>
          <w:p>
            <w:r>
              <w:rPr>
                <w:sz w:val="20"/>
              </w:rPr>
              <w:t>H</w:t>
            </w:r>
          </w:p>
        </w:tc>
        <w:tc>
          <w:tcPr>
            <w:tcW w:type="dxa" w:w="9360"/>
            <w:vAlign w:val="center"/>
          </w:tcPr>
          <w:p>
            <w:r>
              <w:rPr>
                <w:sz w:val="20"/>
              </w:rPr>
              <w:t>Defensive sort by mis_Date at the load boundary for byte-stable artifacts</w:t>
            </w:r>
          </w:p>
        </w:tc>
      </w:tr>
      <w:tr>
        <w:tc>
          <w:tcPr>
            <w:tcW w:type="dxa" w:w="720"/>
            <w:vAlign w:val="center"/>
          </w:tcPr>
          <w:p>
            <w:r>
              <w:rPr>
                <w:sz w:val="20"/>
              </w:rPr>
              <w:t>I</w:t>
            </w:r>
          </w:p>
        </w:tc>
        <w:tc>
          <w:tcPr>
            <w:tcW w:type="dxa" w:w="9360"/>
            <w:vAlign w:val="center"/>
          </w:tcPr>
          <w:p>
            <w:r>
              <w:rPr>
                <w:sz w:val="20"/>
              </w:rPr>
              <w:t>Reject pseudo-labels are now deterministic 2× row expansion (no Bernoulli noise)</w:t>
            </w:r>
          </w:p>
        </w:tc>
      </w:tr>
      <w:tr>
        <w:tc>
          <w:tcPr>
            <w:tcW w:type="dxa" w:w="720"/>
            <w:vAlign w:val="center"/>
          </w:tcPr>
          <w:p>
            <w:r>
              <w:rPr>
                <w:sz w:val="20"/>
              </w:rPr>
              <w:t>J</w:t>
            </w:r>
          </w:p>
        </w:tc>
        <w:tc>
          <w:tcPr>
            <w:tcW w:type="dxa" w:w="9360"/>
            <w:vAlign w:val="center"/>
          </w:tcPr>
          <w:p>
            <w:r>
              <w:rPr>
                <w:sz w:val="20"/>
              </w:rPr>
              <w:t>Optuna MedianPruner warmup raised to 3 folds</w:t>
            </w:r>
          </w:p>
        </w:tc>
      </w:tr>
      <w:tr>
        <w:tc>
          <w:tcPr>
            <w:tcW w:type="dxa" w:w="720"/>
            <w:vAlign w:val="center"/>
          </w:tcPr>
          <w:p>
            <w:r>
              <w:rPr>
                <w:sz w:val="20"/>
              </w:rPr>
              <w:t>K</w:t>
            </w:r>
          </w:p>
        </w:tc>
        <w:tc>
          <w:tcPr>
            <w:tcW w:type="dxa" w:w="9360"/>
            <w:vAlign w:val="center"/>
          </w:tcPr>
          <w:p>
            <w:r>
              <w:rPr>
                <w:sz w:val="20"/>
              </w:rPr>
              <w:t>Absolute weighted_score quality floor with explicit no-recommendation behaviour</w:t>
            </w:r>
          </w:p>
        </w:tc>
      </w:tr>
      <w:tr>
        <w:tc>
          <w:tcPr>
            <w:tcW w:type="dxa" w:w="720"/>
            <w:vAlign w:val="center"/>
          </w:tcPr>
          <w:p>
            <w:r>
              <w:rPr>
                <w:sz w:val="20"/>
              </w:rPr>
              <w:t>L</w:t>
            </w:r>
          </w:p>
        </w:tc>
        <w:tc>
          <w:tcPr>
            <w:tcW w:type="dxa" w:w="9360"/>
            <w:vAlign w:val="center"/>
          </w:tcPr>
          <w:p>
            <w:r>
              <w:rPr>
                <w:sz w:val="20"/>
              </w:rPr>
              <w:t>STABILITY_SELECTION_MIN_FEATURES rationale documented with portfolio-specific bounds</w:t>
            </w:r>
          </w:p>
        </w:tc>
      </w:tr>
      <w:tr>
        <w:tc>
          <w:tcPr>
            <w:tcW w:type="dxa" w:w="720"/>
            <w:vAlign w:val="center"/>
          </w:tcPr>
          <w:p>
            <w:r>
              <w:rPr>
                <w:sz w:val="20"/>
              </w:rPr>
              <w:t>M</w:t>
            </w:r>
          </w:p>
        </w:tc>
        <w:tc>
          <w:tcPr>
            <w:tcW w:type="dxa" w:w="9360"/>
            <w:vAlign w:val="center"/>
          </w:tcPr>
          <w:p>
            <w:r>
              <w:rPr>
                <w:sz w:val="20"/>
              </w:rPr>
              <w:t>Methodology constants section in model card with citations / decision rationale</w:t>
            </w:r>
          </w:p>
        </w:tc>
      </w:tr>
    </w:tbl>
    <w:p>
      <w:r>
        <w:br w:type="page"/>
      </w:r>
    </w:p>
    <w:p>
      <w:pPr>
        <w:pStyle w:val="Heading1"/>
      </w:pPr>
      <w:r>
        <w:rPr>
          <w:color w:val="1F3A68"/>
        </w:rPr>
        <w:t>21.  Artifact Inventory</w:t>
      </w:r>
    </w:p>
    <w:p>
      <w:r>
        <w:rPr>
          <w:b/>
          <w:i w:val="0"/>
          <w:sz w:val="22"/>
        </w:rPr>
        <w:t>CSV artifacts</w:t>
      </w:r>
    </w:p>
    <w:p>
      <w:pPr>
        <w:pStyle w:val="ListBullet"/>
      </w:pPr>
      <w:r>
        <w:rPr>
          <w:sz w:val="22"/>
        </w:rPr>
        <w:t>ablation_results.csv</w:t>
      </w:r>
    </w:p>
    <w:p>
      <w:pPr>
        <w:pStyle w:val="ListBullet"/>
      </w:pPr>
      <w:r>
        <w:rPr>
          <w:sz w:val="22"/>
        </w:rPr>
        <w:t>adverse_impact_age.csv</w:t>
      </w:r>
    </w:p>
    <w:p>
      <w:pPr>
        <w:pStyle w:val="ListBullet"/>
      </w:pPr>
      <w:r>
        <w:rPr>
          <w:sz w:val="22"/>
        </w:rPr>
        <w:t>applicant_scores_post_split.csv</w:t>
      </w:r>
    </w:p>
    <w:p>
      <w:pPr>
        <w:pStyle w:val="ListBullet"/>
      </w:pPr>
      <w:r>
        <w:rPr>
          <w:sz w:val="22"/>
        </w:rPr>
        <w:t>benchmark_comparisons.csv</w:t>
      </w:r>
    </w:p>
    <w:p>
      <w:pPr>
        <w:pStyle w:val="ListBullet"/>
      </w:pPr>
      <w:r>
        <w:rPr>
          <w:sz w:val="22"/>
        </w:rPr>
        <w:t>benchmark_comparisons_experimental.csv</w:t>
      </w:r>
    </w:p>
    <w:p>
      <w:pPr>
        <w:pStyle w:val="ListBullet"/>
      </w:pPr>
      <w:r>
        <w:rPr>
          <w:sz w:val="22"/>
        </w:rPr>
        <w:t>concept_drift.csv</w:t>
      </w:r>
    </w:p>
    <w:p>
      <w:pPr>
        <w:pStyle w:val="ListBullet"/>
      </w:pPr>
      <w:r>
        <w:rPr>
          <w:sz w:val="22"/>
        </w:rPr>
        <w:t>confidence_intervals.csv</w:t>
      </w:r>
    </w:p>
    <w:p>
      <w:pPr>
        <w:pStyle w:val="ListBullet"/>
      </w:pPr>
      <w:r>
        <w:rPr>
          <w:sz w:val="22"/>
        </w:rPr>
        <w:t>csi.csv</w:t>
      </w:r>
    </w:p>
    <w:p>
      <w:pPr>
        <w:pStyle w:val="ListBullet"/>
      </w:pPr>
      <w:r>
        <w:rPr>
          <w:sz w:val="22"/>
        </w:rPr>
        <w:t>data_quality_development_fit.csv</w:t>
      </w:r>
    </w:p>
    <w:p>
      <w:pPr>
        <w:pStyle w:val="ListBullet"/>
      </w:pPr>
      <w:r>
        <w:rPr>
          <w:sz w:val="22"/>
        </w:rPr>
        <w:t>data_quality_test.csv</w:t>
      </w:r>
    </w:p>
    <w:p>
      <w:pPr>
        <w:pStyle w:val="ListBullet"/>
      </w:pPr>
      <w:r>
        <w:rPr>
          <w:sz w:val="22"/>
        </w:rPr>
        <w:t>ensemble_weights.csv</w:t>
      </w:r>
    </w:p>
    <w:p>
      <w:pPr>
        <w:pStyle w:val="ListBullet"/>
      </w:pPr>
      <w:r>
        <w:rPr>
          <w:sz w:val="22"/>
        </w:rPr>
        <w:t>feature_discovery_boundary.csv</w:t>
      </w:r>
    </w:p>
    <w:p>
      <w:pPr>
        <w:pStyle w:val="ListBullet"/>
      </w:pPr>
      <w:r>
        <w:rPr>
          <w:sz w:val="22"/>
        </w:rPr>
        <w:t>feature_importance.csv</w:t>
      </w:r>
    </w:p>
    <w:p>
      <w:pPr>
        <w:pStyle w:val="ListBullet"/>
      </w:pPr>
      <w:r>
        <w:rPr>
          <w:sz w:val="22"/>
        </w:rPr>
        <w:t>feature_provenance.csv</w:t>
      </w:r>
    </w:p>
    <w:p>
      <w:pPr>
        <w:pStyle w:val="ListBullet"/>
      </w:pPr>
      <w:r>
        <w:rPr>
          <w:sz w:val="22"/>
        </w:rPr>
        <w:t>final_holdout_results.csv</w:t>
      </w:r>
    </w:p>
    <w:p>
      <w:pPr>
        <w:pStyle w:val="ListBullet"/>
      </w:pPr>
      <w:r>
        <w:rPr>
          <w:sz w:val="22"/>
        </w:rPr>
        <w:t>final_holdout_scores.csv</w:t>
      </w:r>
    </w:p>
    <w:p>
      <w:pPr>
        <w:pStyle w:val="ListBullet"/>
      </w:pPr>
      <w:r>
        <w:rPr>
          <w:sz w:val="22"/>
        </w:rPr>
        <w:t>holdout_test_scores.csv</w:t>
      </w:r>
    </w:p>
    <w:p>
      <w:pPr>
        <w:pStyle w:val="ListBullet"/>
      </w:pPr>
      <w:r>
        <w:rPr>
          <w:sz w:val="22"/>
        </w:rPr>
        <w:t>interaction_leaderboard.csv</w:t>
      </w:r>
    </w:p>
    <w:p>
      <w:pPr>
        <w:pStyle w:val="ListBullet"/>
      </w:pPr>
      <w:r>
        <w:rPr>
          <w:sz w:val="22"/>
        </w:rPr>
        <w:t>iv_summary.csv</w:t>
      </w:r>
    </w:p>
    <w:p>
      <w:pPr>
        <w:pStyle w:val="ListBullet"/>
      </w:pPr>
      <w:r>
        <w:rPr>
          <w:sz w:val="22"/>
        </w:rPr>
        <w:t>lift_table.csv</w:t>
      </w:r>
    </w:p>
    <w:p>
      <w:pPr>
        <w:pStyle w:val="ListBullet"/>
      </w:pPr>
      <w:r>
        <w:rPr>
          <w:sz w:val="22"/>
        </w:rPr>
        <w:t>model_selection.csv</w:t>
      </w:r>
    </w:p>
    <w:p>
      <w:pPr>
        <w:pStyle w:val="ListBullet"/>
      </w:pPr>
      <w:r>
        <w:rPr>
          <w:sz w:val="22"/>
        </w:rPr>
        <w:t>optuna_catboost.csv</w:t>
      </w:r>
    </w:p>
    <w:p>
      <w:pPr>
        <w:pStyle w:val="ListBullet"/>
      </w:pPr>
      <w:r>
        <w:rPr>
          <w:sz w:val="22"/>
        </w:rPr>
        <w:t>optuna_ebm.csv</w:t>
      </w:r>
    </w:p>
    <w:p>
      <w:pPr>
        <w:pStyle w:val="ListBullet"/>
      </w:pPr>
      <w:r>
        <w:rPr>
          <w:sz w:val="22"/>
        </w:rPr>
        <w:t>optuna_lightgbm.csv</w:t>
      </w:r>
    </w:p>
    <w:p>
      <w:pPr>
        <w:pStyle w:val="ListBullet"/>
      </w:pPr>
      <w:r>
        <w:rPr>
          <w:sz w:val="22"/>
        </w:rPr>
        <w:t>optuna_logistic_regression.csv</w:t>
      </w:r>
    </w:p>
    <w:p>
      <w:pPr>
        <w:pStyle w:val="ListBullet"/>
      </w:pPr>
      <w:r>
        <w:rPr>
          <w:sz w:val="22"/>
        </w:rPr>
        <w:t>optuna_xgboost.csv</w:t>
      </w:r>
    </w:p>
    <w:p>
      <w:pPr>
        <w:pStyle w:val="ListBullet"/>
      </w:pPr>
      <w:r>
        <w:rPr>
          <w:sz w:val="22"/>
        </w:rPr>
        <w:t>overfit_report.csv</w:t>
      </w:r>
    </w:p>
    <w:p>
      <w:pPr>
        <w:pStyle w:val="ListBullet"/>
      </w:pPr>
      <w:r>
        <w:rPr>
          <w:sz w:val="22"/>
        </w:rPr>
        <w:t>population_ks_test.csv</w:t>
      </w:r>
    </w:p>
    <w:p>
      <w:pPr>
        <w:pStyle w:val="ListBullet"/>
      </w:pPr>
      <w:r>
        <w:rPr>
          <w:sz w:val="22"/>
        </w:rPr>
        <w:t>population_summary.csv</w:t>
      </w:r>
    </w:p>
    <w:p>
      <w:pPr>
        <w:pStyle w:val="ListBullet"/>
      </w:pPr>
      <w:r>
        <w:rPr>
          <w:sz w:val="22"/>
        </w:rPr>
        <w:t>psi.csv</w:t>
      </w:r>
    </w:p>
    <w:p>
      <w:pPr>
        <w:pStyle w:val="ListBullet"/>
      </w:pPr>
      <w:r>
        <w:rPr>
          <w:sz w:val="22"/>
        </w:rPr>
        <w:t>results.csv</w:t>
      </w:r>
    </w:p>
    <w:p>
      <w:pPr>
        <w:pStyle w:val="ListBullet"/>
      </w:pPr>
      <w:r>
        <w:rPr>
          <w:sz w:val="22"/>
        </w:rPr>
        <w:t>results_experimental.csv</w:t>
      </w:r>
    </w:p>
    <w:p>
      <w:pPr>
        <w:pStyle w:val="ListBullet"/>
      </w:pPr>
      <w:r>
        <w:rPr>
          <w:sz w:val="22"/>
        </w:rPr>
        <w:t>rolling_oot_results.csv</w:t>
      </w:r>
    </w:p>
    <w:p>
      <w:pPr>
        <w:pStyle w:val="ListBullet"/>
      </w:pPr>
      <w:r>
        <w:rPr>
          <w:sz w:val="22"/>
        </w:rPr>
        <w:t>rolling_oot_summary.csv</w:t>
      </w:r>
    </w:p>
    <w:p>
      <w:pPr>
        <w:pStyle w:val="ListBullet"/>
      </w:pPr>
      <w:r>
        <w:rPr>
          <w:sz w:val="22"/>
        </w:rPr>
        <w:t>selection_bias_correlation.csv</w:t>
      </w:r>
    </w:p>
    <w:p>
      <w:pPr>
        <w:pStyle w:val="ListBullet"/>
      </w:pPr>
      <w:r>
        <w:rPr>
          <w:sz w:val="22"/>
        </w:rPr>
        <w:t>shap_importance.csv</w:t>
      </w:r>
    </w:p>
    <w:p>
      <w:pPr>
        <w:pStyle w:val="ListBullet"/>
      </w:pPr>
      <w:r>
        <w:rPr>
          <w:sz w:val="22"/>
        </w:rPr>
        <w:t>shap_values.csv</w:t>
      </w:r>
    </w:p>
    <w:p>
      <w:pPr>
        <w:pStyle w:val="ListBullet"/>
      </w:pPr>
      <w:r>
        <w:rPr>
          <w:sz w:val="22"/>
        </w:rPr>
        <w:t>threshold_analysis.csv</w:t>
      </w:r>
    </w:p>
    <w:p>
      <w:pPr>
        <w:pStyle w:val="ListBullet"/>
      </w:pPr>
      <w:r>
        <w:rPr>
          <w:sz w:val="22"/>
        </w:rPr>
        <w:t>variable_dictionary.csv</w:t>
      </w:r>
    </w:p>
    <w:p>
      <w:pPr>
        <w:pStyle w:val="ListBullet"/>
      </w:pPr>
      <w:r>
        <w:rPr>
          <w:sz w:val="22"/>
        </w:rPr>
        <w:t>woe_detail.csv</w:t>
      </w:r>
    </w:p>
    <w:p>
      <w:r>
        <w:rPr>
          <w:b/>
          <w:i w:val="0"/>
          <w:sz w:val="22"/>
        </w:rPr>
        <w:t>JSON artifacts</w:t>
      </w:r>
    </w:p>
    <w:p>
      <w:pPr>
        <w:pStyle w:val="ListBullet"/>
      </w:pPr>
      <w:r>
        <w:rPr>
          <w:sz w:val="22"/>
        </w:rPr>
        <w:t>risk_tiers.json</w:t>
      </w:r>
    </w:p>
    <w:p>
      <w:r>
        <w:rPr>
          <w:b/>
          <w:i w:val="0"/>
          <w:sz w:val="22"/>
        </w:rPr>
        <w:t>Text reports</w:t>
      </w:r>
    </w:p>
    <w:p>
      <w:pPr>
        <w:pStyle w:val="ListBullet"/>
      </w:pPr>
      <w:r>
        <w:rPr>
          <w:sz w:val="22"/>
        </w:rPr>
        <w:t>model_card.txt</w:t>
      </w:r>
    </w:p>
    <w:p>
      <w:r>
        <w:rPr>
          <w:b/>
          <w:i w:val="0"/>
          <w:sz w:val="22"/>
        </w:rPr>
        <w:t>Stakeholder plots</w:t>
      </w:r>
    </w:p>
    <w:p>
      <w:pPr>
        <w:pStyle w:val="ListBullet"/>
      </w:pPr>
      <w:r>
        <w:rPr>
          <w:sz w:val="22"/>
        </w:rPr>
        <w:t>score_dist_test.png</w:t>
      </w:r>
    </w:p>
    <w:p>
      <w:pPr>
        <w:pStyle w:val="ListBullet"/>
      </w:pPr>
      <w:r>
        <w:rPr>
          <w:sz w:val="22"/>
        </w:rPr>
        <w:t>score_dist_train.png</w:t>
      </w:r>
    </w:p>
    <w:p>
      <w:pPr>
        <w:pStyle w:val="ListBullet"/>
      </w:pPr>
      <w:r>
        <w:rPr>
          <w:sz w:val="22"/>
        </w:rPr>
        <w:t>shap_dependence.png</w:t>
      </w:r>
    </w:p>
    <w:p>
      <w:pPr>
        <w:pStyle w:val="ListBullet"/>
      </w:pPr>
      <w:r>
        <w:rPr>
          <w:sz w:val="22"/>
        </w:rPr>
        <w:t>shap_importance.png</w:t>
      </w:r>
    </w:p>
    <w:p>
      <w:pPr>
        <w:pStyle w:val="ListBullet"/>
      </w:pPr>
      <w:r>
        <w:rPr>
          <w:sz w:val="22"/>
        </w:rPr>
        <w:t>shap_summary.png</w:t>
      </w:r>
    </w:p>
    <w:p>
      <w:pPr>
        <w:pStyle w:val="ListBullet"/>
      </w:pPr>
      <w:r>
        <w:rPr>
          <w:sz w:val="22"/>
        </w:rPr>
        <w:t>stakeholder_auc_lift.png</w:t>
      </w:r>
    </w:p>
    <w:p>
      <w:pPr>
        <w:pStyle w:val="ListBullet"/>
      </w:pPr>
      <w:r>
        <w:rPr>
          <w:sz w:val="22"/>
        </w:rPr>
        <w:t>stakeholder_before_after.png</w:t>
      </w:r>
    </w:p>
    <w:p>
      <w:pPr>
        <w:pStyle w:val="ListBullet"/>
      </w:pPr>
      <w:r>
        <w:rPr>
          <w:sz w:val="22"/>
        </w:rPr>
        <w:t>stakeholder_calibration.png</w:t>
      </w:r>
    </w:p>
    <w:p>
      <w:pPr>
        <w:pStyle w:val="ListBullet"/>
      </w:pPr>
      <w:r>
        <w:rPr>
          <w:sz w:val="22"/>
        </w:rPr>
        <w:t>stakeholder_executive_summary.png</w:t>
      </w:r>
    </w:p>
    <w:p>
      <w:pPr>
        <w:pStyle w:val="ListBullet"/>
      </w:pPr>
      <w:r>
        <w:rPr>
          <w:sz w:val="22"/>
        </w:rPr>
        <w:t>stakeholder_gains.png</w:t>
      </w:r>
    </w:p>
    <w:p>
      <w:pPr>
        <w:pStyle w:val="ListBullet"/>
      </w:pPr>
      <w:r>
        <w:rPr>
          <w:sz w:val="22"/>
        </w:rPr>
        <w:t>stakeholder_holdout_benchmarks.png</w:t>
      </w:r>
    </w:p>
    <w:p>
      <w:pPr>
        <w:pStyle w:val="ListBullet"/>
      </w:pPr>
      <w:r>
        <w:rPr>
          <w:sz w:val="22"/>
        </w:rPr>
        <w:t>stakeholder_kpis.png</w:t>
      </w:r>
    </w:p>
    <w:p>
      <w:pPr>
        <w:pStyle w:val="ListBullet"/>
      </w:pPr>
      <w:r>
        <w:rPr>
          <w:sz w:val="22"/>
        </w:rPr>
        <w:t>stakeholder_population_coverage.png</w:t>
      </w:r>
    </w:p>
    <w:p>
      <w:pPr>
        <w:pStyle w:val="ListBullet"/>
      </w:pPr>
      <w:r>
        <w:rPr>
          <w:sz w:val="22"/>
        </w:rPr>
        <w:t>stakeholder_reliability.png</w:t>
      </w:r>
    </w:p>
    <w:p>
      <w:pPr>
        <w:pStyle w:val="ListBullet"/>
      </w:pPr>
      <w:r>
        <w:rPr>
          <w:sz w:val="22"/>
        </w:rPr>
        <w:t>stakeholder_roc_pr_curves.png</w:t>
      </w:r>
    </w:p>
    <w:p>
      <w:pPr>
        <w:pStyle w:val="ListBullet"/>
      </w:pPr>
      <w:r>
        <w:rPr>
          <w:sz w:val="22"/>
        </w:rPr>
        <w:t>stakeholder_rolling_oot.png</w:t>
      </w:r>
    </w:p>
    <w:p>
      <w:pPr>
        <w:pStyle w:val="ListBullet"/>
      </w:pPr>
      <w:r>
        <w:rPr>
          <w:sz w:val="22"/>
        </w:rPr>
        <w:t>stakeholder_threshold_analysis.png</w:t>
      </w:r>
    </w:p>
    <w:p>
      <w:pPr>
        <w:pStyle w:val="ListBullet"/>
      </w:pPr>
      <w:r>
        <w:rPr>
          <w:sz w:val="22"/>
        </w:rPr>
        <w:t>stakeholder_top_drivers.png</w:t>
      </w:r>
    </w:p>
    <w:p>
      <w:r>
        <w:rPr>
          <w:b/>
          <w:i w:val="0"/>
          <w:sz w:val="22"/>
        </w:rPr>
        <w:t>Saved models (with SHA-256 checksums.json)</w:t>
      </w:r>
    </w:p>
    <w:p>
      <w:pPr>
        <w:pStyle w:val="ListBullet"/>
      </w:pPr>
      <w:r>
        <w:rPr>
          <w:sz w:val="22"/>
        </w:rPr>
        <w:t>catboost.joblib</w:t>
      </w:r>
    </w:p>
    <w:p>
      <w:pPr>
        <w:pStyle w:val="ListBullet"/>
      </w:pPr>
      <w:r>
        <w:rPr>
          <w:sz w:val="22"/>
        </w:rPr>
        <w:t>catboost_calibrated.joblib</w:t>
      </w:r>
    </w:p>
    <w:p>
      <w:pPr>
        <w:pStyle w:val="ListBullet"/>
      </w:pPr>
      <w:r>
        <w:rPr>
          <w:sz w:val="22"/>
        </w:rPr>
        <w:t>ebm.joblib</w:t>
      </w:r>
    </w:p>
    <w:p>
      <w:pPr>
        <w:pStyle w:val="ListBullet"/>
      </w:pPr>
      <w:r>
        <w:rPr>
          <w:sz w:val="22"/>
        </w:rPr>
        <w:t>ebm_calibrated.joblib</w:t>
      </w:r>
    </w:p>
    <w:p>
      <w:pPr>
        <w:pStyle w:val="ListBullet"/>
      </w:pPr>
      <w:r>
        <w:rPr>
          <w:sz w:val="22"/>
        </w:rPr>
        <w:t>ensemble_logistic_regression_+_catboost.joblib</w:t>
      </w:r>
    </w:p>
    <w:p>
      <w:pPr>
        <w:pStyle w:val="ListBullet"/>
      </w:pPr>
      <w:r>
        <w:rPr>
          <w:sz w:val="22"/>
        </w:rPr>
        <w:t>ensemble_logistic_regression_+_lightgbm.joblib</w:t>
      </w:r>
    </w:p>
    <w:p>
      <w:pPr>
        <w:pStyle w:val="ListBullet"/>
      </w:pPr>
      <w:r>
        <w:rPr>
          <w:sz w:val="22"/>
        </w:rPr>
        <w:t>ensemble_logistic_regression_+_xgboost.joblib</w:t>
      </w:r>
    </w:p>
    <w:p>
      <w:pPr>
        <w:pStyle w:val="ListBullet"/>
      </w:pPr>
      <w:r>
        <w:rPr>
          <w:sz w:val="22"/>
        </w:rPr>
        <w:t>lightgbm.joblib</w:t>
      </w:r>
    </w:p>
    <w:p>
      <w:pPr>
        <w:pStyle w:val="ListBullet"/>
      </w:pPr>
      <w:r>
        <w:rPr>
          <w:sz w:val="22"/>
        </w:rPr>
        <w:t>lightgbm_calibrated.joblib</w:t>
      </w:r>
    </w:p>
    <w:p>
      <w:pPr>
        <w:pStyle w:val="ListBullet"/>
      </w:pPr>
      <w:r>
        <w:rPr>
          <w:sz w:val="22"/>
        </w:rPr>
        <w:t>logistic_regression.joblib</w:t>
      </w:r>
    </w:p>
    <w:p>
      <w:pPr>
        <w:pStyle w:val="ListBullet"/>
      </w:pPr>
      <w:r>
        <w:rPr>
          <w:sz w:val="22"/>
        </w:rPr>
        <w:t>logistic_regression_calibrated.joblib</w:t>
      </w:r>
    </w:p>
    <w:p>
      <w:pPr>
        <w:pStyle w:val="ListBullet"/>
      </w:pPr>
      <w:r>
        <w:rPr>
          <w:sz w:val="22"/>
        </w:rPr>
        <w:t>stacking.joblib</w:t>
      </w:r>
    </w:p>
    <w:p>
      <w:pPr>
        <w:pStyle w:val="ListBullet"/>
      </w:pPr>
      <w:r>
        <w:rPr>
          <w:sz w:val="22"/>
        </w:rPr>
        <w:t>stacking_experimental.joblib</w:t>
      </w:r>
    </w:p>
    <w:p>
      <w:pPr>
        <w:pStyle w:val="ListBullet"/>
      </w:pPr>
      <w:r>
        <w:rPr>
          <w:sz w:val="22"/>
        </w:rPr>
        <w:t>xgboost.joblib</w:t>
      </w:r>
    </w:p>
    <w:p>
      <w:pPr>
        <w:pStyle w:val="ListBullet"/>
      </w:pPr>
      <w:r>
        <w:rPr>
          <w:sz w:val="22"/>
        </w:rPr>
        <w:t>xgboost_calibrated.joblib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