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Scoring Model Validation Report</w:t>
      </w:r>
    </w:p>
    <w:p/>
    <w:p>
      <w:pPr>
        <w:jc w:val="center"/>
      </w:pPr>
      <w:r>
        <w:rPr>
          <w:b/>
          <w:sz w:val="28"/>
        </w:rPr>
        <w:t>Basel Bad Default Prediction Model</w:t>
        <w:br/>
        <w:t>Direct Consumer Credit Portfolio</w:t>
        <w:br/>
      </w:r>
      <w:r>
        <w:br/>
        <w:t>Population mode: Underwriting  |  Evaluation: Booked-proxy holdout</w:t>
      </w:r>
    </w:p>
    <w:p/>
    <w:p>
      <w:pPr>
        <w:pStyle w:val="Heading1"/>
      </w:pPr>
      <w:r>
        <w:t>1. Executive Summary</w:t>
      </w:r>
    </w:p>
    <w:p>
      <w:r>
        <w:rPr>
          <w:b/>
        </w:rPr>
        <w:t xml:space="preserve">Purpose. </w:t>
      </w:r>
      <w:r>
        <w:t>This report presents the development and validation of a binary classification model predicting 12-month default (basel_bad) for direct consumer credit applications. The model is intended to support underwriting decisions by scoring all decisioned applications (booked, rejected, and canceled) at the point of application.</w:t>
      </w:r>
    </w:p>
    <w:p>
      <w:r>
        <w:rPr>
          <w:b/>
        </w:rPr>
        <w:t xml:space="preserve">Recommendation. </w:t>
      </w:r>
      <w:r>
        <w:t>The recommended production model is Logistic Regression with a weighted selection score of 75.8/100. It achieves a ROC AUC of 0.6658 and KS of 0.2501 on the held-out booked-proxy test set (16,109 accounts, 611 observed defaults, 3.8% base rate).</w:t>
      </w:r>
    </w:p>
    <w:p/>
    <w:p>
      <w:r>
        <w:rPr>
          <w:b/>
        </w:rPr>
        <w:t>Key findings:</w:t>
      </w:r>
    </w:p>
    <w:p>
      <w:pPr>
        <w:pStyle w:val="ListBullet"/>
      </w:pPr>
      <w:r>
        <w:t>The recommended model significantly outperforms score_RF on ROC AUC (+0.0473, 95% CI [+0.0294, +0.0663], DeLong p=0.000001), confirming that the new model provides materially better risk ranking than the existing weaker benchmark.</w:t>
      </w:r>
    </w:p>
    <w:p>
      <w:pPr>
        <w:pStyle w:val="ListBullet"/>
      </w:pPr>
      <w:r>
        <w:t>Against the stronger risk_score_rf benchmark, the AUC improvement is modest and not statistically significant (+0.0045, p=0.77). On PR AUC, risk_score_rf retains a meaningful lead (-0.0237), indicating that the existing benchmark concentrates defaults more effectively in the highest-risk segment. This gap represents the primary improvement opportunity.</w:t>
      </w:r>
    </w:p>
    <w:p>
      <w:pPr>
        <w:pStyle w:val="ListBullet"/>
      </w:pPr>
      <w:r>
        <w:t>Logistic Regression shows a mild overfit gap (AUC delta +0.0351), while tree models exhibit severe overfitting (AUC deltas from +0.25 to +0.33). This is the primary reason the multi-criteria selection favors the linear model despite competitive held-out discrimination from LightGBM and XGBoost.</w:t>
      </w:r>
    </w:p>
    <w:p>
      <w:pPr>
        <w:pStyle w:val="ListBullet"/>
      </w:pPr>
      <w:r>
        <w:t>The top score decile concentrates defaults at 2.0x the population average. The top two deciles capture 38.1% of all observed defaults, demonstrating meaningful separation for underwriting cutoff decisions.</w:t>
      </w:r>
    </w:p>
    <w:p>
      <w:pPr>
        <w:pStyle w:val="ListBullet"/>
      </w:pPr>
      <w:r>
        <w:t>The adverse impact analysis flags 1 age band(s) (18-25) below the 80% AIR threshold at a 10% rejection rate. Young applicants receive systematically higher predicted risk, which is consistent with the observed higher default rate in this segment but warrants regulatory review.</w:t>
      </w:r>
    </w:p>
    <w:p>
      <w:pPr>
        <w:pStyle w:val="ListBullet"/>
      </w:pPr>
      <w:r>
        <w:t>Score distributions are highly stable between training and test (all PSI &lt; 0.02) and no concept drift is detected across rolling out-of-time windows.</w:t>
      </w:r>
    </w:p>
    <w:p>
      <w:pPr>
        <w:pStyle w:val="Heading1"/>
      </w:pPr>
      <w:r>
        <w:t>2. Data and Population Design</w:t>
      </w:r>
    </w:p>
    <w:p>
      <w:pPr>
        <w:pStyle w:val="Heading2"/>
      </w:pPr>
      <w:r>
        <w:t>2.1 Population Scope</w:t>
      </w:r>
    </w:p>
    <w:p>
      <w:r>
        <w:t>The pipeline operates in underwriting mode, meaning it loads the full decisioned population: booked loans, rejected applications, and canceled applications. This reflects the production use case where the model scores every incoming application regardless of the eventual decision.</w:t>
      </w:r>
    </w:p>
    <w:p>
      <w:r>
        <w:t>However, the supervised training target (12-month default) is observable only for booked accounts that have had sufficient time on book. This creates a fundamental limitation: the model is trained and evaluated on the accepted-population proxy, not the full applicant population. Rejected and canceled applications contribute to the applicant-stage score frame but do not influence model fitting or evaluation metrics.</w:t>
      </w:r>
    </w:p>
    <w:p>
      <w:pPr>
        <w:pStyle w:val="Heading2"/>
      </w:pPr>
      <w:r>
        <w:t>2.2 Population Breakdown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jc w:val="center"/>
            </w:pPr>
            <w:r>
              <w:rPr>
                <w:b/>
                <w:color w:val="FFFFFF"/>
                <w:sz w:val="18"/>
              </w:rPr>
              <w:t>Split</w:t>
            </w:r>
          </w:p>
        </w:tc>
        <w:tc>
          <w:tcPr>
            <w:tcW w:type="dxa" w:w="1728"/>
            <w:shd w:val="clear" w:color="auto" w:fill="1F4E79"/>
          </w:tcPr>
          <w:p>
            <w:pPr>
              <w:jc w:val="center"/>
            </w:pPr>
            <w:r>
              <w:rPr>
                <w:b/>
                <w:color w:val="FFFFFF"/>
                <w:sz w:val="18"/>
              </w:rPr>
              <w:t>Status</w:t>
            </w:r>
          </w:p>
        </w:tc>
        <w:tc>
          <w:tcPr>
            <w:tcW w:type="dxa" w:w="1728"/>
            <w:shd w:val="clear" w:color="auto" w:fill="1F4E79"/>
          </w:tcPr>
          <w:p>
            <w:pPr>
              <w:jc w:val="center"/>
            </w:pPr>
            <w:r>
              <w:rPr>
                <w:b/>
                <w:color w:val="FFFFFF"/>
                <w:sz w:val="18"/>
              </w:rPr>
              <w:t>Applications</w:t>
            </w:r>
          </w:p>
        </w:tc>
        <w:tc>
          <w:tcPr>
            <w:tcW w:type="dxa" w:w="1728"/>
            <w:shd w:val="clear" w:color="auto" w:fill="1F4E79"/>
          </w:tcPr>
          <w:p>
            <w:pPr>
              <w:jc w:val="center"/>
            </w:pPr>
            <w:r>
              <w:rPr>
                <w:b/>
                <w:color w:val="FFFFFF"/>
                <w:sz w:val="18"/>
              </w:rPr>
              <w:t>Defaults</w:t>
            </w:r>
          </w:p>
        </w:tc>
        <w:tc>
          <w:tcPr>
            <w:tcW w:type="dxa" w:w="1728"/>
            <w:shd w:val="clear" w:color="auto" w:fill="1F4E79"/>
          </w:tcPr>
          <w:p>
            <w:pPr>
              <w:jc w:val="center"/>
            </w:pPr>
            <w:r>
              <w:rPr>
                <w:b/>
                <w:color w:val="FFFFFF"/>
                <w:sz w:val="18"/>
              </w:rPr>
              <w:t>Period</w:t>
            </w:r>
          </w:p>
        </w:tc>
      </w:tr>
      <w:tr>
        <w:tc>
          <w:tcPr>
            <w:tcW w:type="dxa" w:w="1728"/>
          </w:tcPr>
          <w:p>
            <w:pPr>
              <w:jc w:val="center"/>
            </w:pPr>
            <w:r>
              <w:rPr>
                <w:sz w:val="18"/>
              </w:rPr>
              <w:t>post-split</w:t>
            </w:r>
          </w:p>
        </w:tc>
        <w:tc>
          <w:tcPr>
            <w:tcW w:type="dxa" w:w="1728"/>
          </w:tcPr>
          <w:p>
            <w:pPr>
              <w:jc w:val="center"/>
            </w:pPr>
            <w:r>
              <w:rPr>
                <w:sz w:val="18"/>
              </w:rPr>
              <w:t>Booked</w:t>
            </w:r>
          </w:p>
        </w:tc>
        <w:tc>
          <w:tcPr>
            <w:tcW w:type="dxa" w:w="1728"/>
          </w:tcPr>
          <w:p>
            <w:pPr>
              <w:jc w:val="center"/>
            </w:pPr>
            <w:r>
              <w:rPr>
                <w:sz w:val="18"/>
              </w:rPr>
              <w:t>50,735</w:t>
            </w:r>
          </w:p>
        </w:tc>
        <w:tc>
          <w:tcPr>
            <w:tcW w:type="dxa" w:w="1728"/>
          </w:tcPr>
          <w:p>
            <w:pPr>
              <w:jc w:val="center"/>
            </w:pPr>
            <w:r>
              <w:rPr>
                <w:sz w:val="18"/>
              </w:rPr>
              <w:t>727</w:t>
            </w:r>
          </w:p>
        </w:tc>
        <w:tc>
          <w:tcPr>
            <w:tcW w:type="dxa" w:w="1728"/>
          </w:tcPr>
          <w:p>
            <w:pPr>
              <w:jc w:val="center"/>
            </w:pPr>
            <w:r>
              <w:rPr>
                <w:sz w:val="18"/>
              </w:rPr>
              <w:t>2024-07-01 to 2026-02-01</w:t>
            </w:r>
          </w:p>
        </w:tc>
      </w:tr>
      <w:tr>
        <w:tc>
          <w:tcPr>
            <w:tcW w:type="dxa" w:w="1728"/>
          </w:tcPr>
          <w:p>
            <w:pPr>
              <w:jc w:val="center"/>
            </w:pPr>
            <w:r>
              <w:rPr>
                <w:sz w:val="18"/>
              </w:rPr>
              <w:t>post-split</w:t>
            </w:r>
          </w:p>
        </w:tc>
        <w:tc>
          <w:tcPr>
            <w:tcW w:type="dxa" w:w="1728"/>
          </w:tcPr>
          <w:p>
            <w:pPr>
              <w:jc w:val="center"/>
            </w:pPr>
            <w:r>
              <w:rPr>
                <w:sz w:val="18"/>
              </w:rPr>
              <w:t>Canceled</w:t>
            </w:r>
          </w:p>
        </w:tc>
        <w:tc>
          <w:tcPr>
            <w:tcW w:type="dxa" w:w="1728"/>
          </w:tcPr>
          <w:p>
            <w:pPr>
              <w:jc w:val="center"/>
            </w:pPr>
            <w:r>
              <w:rPr>
                <w:sz w:val="18"/>
              </w:rPr>
              <w:t>149,039</w:t>
            </w:r>
          </w:p>
        </w:tc>
        <w:tc>
          <w:tcPr>
            <w:tcW w:type="dxa" w:w="1728"/>
          </w:tcPr>
          <w:p>
            <w:pPr>
              <w:jc w:val="center"/>
            </w:pPr>
            <w:r>
              <w:rPr>
                <w:sz w:val="18"/>
              </w:rPr>
              <w:t>0</w:t>
            </w:r>
          </w:p>
        </w:tc>
        <w:tc>
          <w:tcPr>
            <w:tcW w:type="dxa" w:w="1728"/>
          </w:tcPr>
          <w:p>
            <w:pPr>
              <w:jc w:val="center"/>
            </w:pPr>
            <w:r>
              <w:rPr>
                <w:sz w:val="18"/>
              </w:rPr>
              <w:t>2024-07-01 to 2026-02-01</w:t>
            </w:r>
          </w:p>
        </w:tc>
      </w:tr>
      <w:tr>
        <w:tc>
          <w:tcPr>
            <w:tcW w:type="dxa" w:w="1728"/>
          </w:tcPr>
          <w:p>
            <w:pPr>
              <w:jc w:val="center"/>
            </w:pPr>
            <w:r>
              <w:rPr>
                <w:sz w:val="18"/>
              </w:rPr>
              <w:t>post-split</w:t>
            </w:r>
          </w:p>
        </w:tc>
        <w:tc>
          <w:tcPr>
            <w:tcW w:type="dxa" w:w="1728"/>
          </w:tcPr>
          <w:p>
            <w:pPr>
              <w:jc w:val="center"/>
            </w:pPr>
            <w:r>
              <w:rPr>
                <w:sz w:val="18"/>
              </w:rPr>
              <w:t>Rejected</w:t>
            </w:r>
          </w:p>
        </w:tc>
        <w:tc>
          <w:tcPr>
            <w:tcW w:type="dxa" w:w="1728"/>
          </w:tcPr>
          <w:p>
            <w:pPr>
              <w:jc w:val="center"/>
            </w:pPr>
            <w:r>
              <w:rPr>
                <w:sz w:val="18"/>
              </w:rPr>
              <w:t>980,972</w:t>
            </w:r>
          </w:p>
        </w:tc>
        <w:tc>
          <w:tcPr>
            <w:tcW w:type="dxa" w:w="1728"/>
          </w:tcPr>
          <w:p>
            <w:pPr>
              <w:jc w:val="center"/>
            </w:pPr>
            <w:r>
              <w:rPr>
                <w:sz w:val="18"/>
              </w:rPr>
              <w:t>0</w:t>
            </w:r>
          </w:p>
        </w:tc>
        <w:tc>
          <w:tcPr>
            <w:tcW w:type="dxa" w:w="1728"/>
          </w:tcPr>
          <w:p>
            <w:pPr>
              <w:jc w:val="center"/>
            </w:pPr>
            <w:r>
              <w:rPr>
                <w:sz w:val="18"/>
              </w:rPr>
              <w:t>2024-07-01 to 2026-02-01</w:t>
            </w:r>
          </w:p>
        </w:tc>
      </w:tr>
      <w:tr>
        <w:tc>
          <w:tcPr>
            <w:tcW w:type="dxa" w:w="1728"/>
          </w:tcPr>
          <w:p>
            <w:pPr>
              <w:jc w:val="center"/>
            </w:pPr>
            <w:r>
              <w:rPr>
                <w:sz w:val="18"/>
              </w:rPr>
              <w:t>pre-split</w:t>
            </w:r>
          </w:p>
        </w:tc>
        <w:tc>
          <w:tcPr>
            <w:tcW w:type="dxa" w:w="1728"/>
          </w:tcPr>
          <w:p>
            <w:pPr>
              <w:jc w:val="center"/>
            </w:pPr>
            <w:r>
              <w:rPr>
                <w:sz w:val="18"/>
              </w:rPr>
              <w:t>Booked</w:t>
            </w:r>
          </w:p>
        </w:tc>
        <w:tc>
          <w:tcPr>
            <w:tcW w:type="dxa" w:w="1728"/>
          </w:tcPr>
          <w:p>
            <w:pPr>
              <w:jc w:val="center"/>
            </w:pPr>
            <w:r>
              <w:rPr>
                <w:sz w:val="18"/>
              </w:rPr>
              <w:t>51,380</w:t>
            </w:r>
          </w:p>
        </w:tc>
        <w:tc>
          <w:tcPr>
            <w:tcW w:type="dxa" w:w="1728"/>
          </w:tcPr>
          <w:p>
            <w:pPr>
              <w:jc w:val="center"/>
            </w:pPr>
            <w:r>
              <w:rPr>
                <w:sz w:val="18"/>
              </w:rPr>
              <w:t>1,935</w:t>
            </w:r>
          </w:p>
        </w:tc>
        <w:tc>
          <w:tcPr>
            <w:tcW w:type="dxa" w:w="1728"/>
          </w:tcPr>
          <w:p>
            <w:pPr>
              <w:jc w:val="center"/>
            </w:pPr>
            <w:r>
              <w:rPr>
                <w:sz w:val="18"/>
              </w:rPr>
              <w:t>2023-01-01 to 2024-06-01</w:t>
            </w:r>
          </w:p>
        </w:tc>
      </w:tr>
      <w:tr>
        <w:tc>
          <w:tcPr>
            <w:tcW w:type="dxa" w:w="1728"/>
          </w:tcPr>
          <w:p>
            <w:pPr>
              <w:jc w:val="center"/>
            </w:pPr>
            <w:r>
              <w:rPr>
                <w:sz w:val="18"/>
              </w:rPr>
              <w:t>pre-split</w:t>
            </w:r>
          </w:p>
        </w:tc>
        <w:tc>
          <w:tcPr>
            <w:tcW w:type="dxa" w:w="1728"/>
          </w:tcPr>
          <w:p>
            <w:pPr>
              <w:jc w:val="center"/>
            </w:pPr>
            <w:r>
              <w:rPr>
                <w:sz w:val="18"/>
              </w:rPr>
              <w:t>Canceled</w:t>
            </w:r>
          </w:p>
        </w:tc>
        <w:tc>
          <w:tcPr>
            <w:tcW w:type="dxa" w:w="1728"/>
          </w:tcPr>
          <w:p>
            <w:pPr>
              <w:jc w:val="center"/>
            </w:pPr>
            <w:r>
              <w:rPr>
                <w:sz w:val="18"/>
              </w:rPr>
              <w:t>180,023</w:t>
            </w:r>
          </w:p>
        </w:tc>
        <w:tc>
          <w:tcPr>
            <w:tcW w:type="dxa" w:w="1728"/>
          </w:tcPr>
          <w:p>
            <w:pPr>
              <w:jc w:val="center"/>
            </w:pPr>
            <w:r>
              <w:rPr>
                <w:sz w:val="18"/>
              </w:rPr>
              <w:t>0</w:t>
            </w:r>
          </w:p>
        </w:tc>
        <w:tc>
          <w:tcPr>
            <w:tcW w:type="dxa" w:w="1728"/>
          </w:tcPr>
          <w:p>
            <w:pPr>
              <w:jc w:val="center"/>
            </w:pPr>
            <w:r>
              <w:rPr>
                <w:sz w:val="18"/>
              </w:rPr>
              <w:t>2023-01-01 to 2024-06-01</w:t>
            </w:r>
          </w:p>
        </w:tc>
      </w:tr>
      <w:tr>
        <w:tc>
          <w:tcPr>
            <w:tcW w:type="dxa" w:w="1728"/>
          </w:tcPr>
          <w:p>
            <w:pPr>
              <w:jc w:val="center"/>
            </w:pPr>
            <w:r>
              <w:rPr>
                <w:sz w:val="18"/>
              </w:rPr>
              <w:t>pre-split</w:t>
            </w:r>
          </w:p>
        </w:tc>
        <w:tc>
          <w:tcPr>
            <w:tcW w:type="dxa" w:w="1728"/>
          </w:tcPr>
          <w:p>
            <w:pPr>
              <w:jc w:val="center"/>
            </w:pPr>
            <w:r>
              <w:rPr>
                <w:sz w:val="18"/>
              </w:rPr>
              <w:t>Rejected</w:t>
            </w:r>
          </w:p>
        </w:tc>
        <w:tc>
          <w:tcPr>
            <w:tcW w:type="dxa" w:w="1728"/>
          </w:tcPr>
          <w:p>
            <w:pPr>
              <w:jc w:val="center"/>
            </w:pPr>
            <w:r>
              <w:rPr>
                <w:sz w:val="18"/>
              </w:rPr>
              <w:t>974,536</w:t>
            </w:r>
          </w:p>
        </w:tc>
        <w:tc>
          <w:tcPr>
            <w:tcW w:type="dxa" w:w="1728"/>
          </w:tcPr>
          <w:p>
            <w:pPr>
              <w:jc w:val="center"/>
            </w:pPr>
            <w:r>
              <w:rPr>
                <w:sz w:val="18"/>
              </w:rPr>
              <w:t>0</w:t>
            </w:r>
          </w:p>
        </w:tc>
        <w:tc>
          <w:tcPr>
            <w:tcW w:type="dxa" w:w="1728"/>
          </w:tcPr>
          <w:p>
            <w:pPr>
              <w:jc w:val="center"/>
            </w:pPr>
            <w:r>
              <w:rPr>
                <w:sz w:val="18"/>
              </w:rPr>
              <w:t>2023-01-01 to 2024-06-01</w:t>
            </w:r>
          </w:p>
        </w:tc>
      </w:tr>
    </w:tbl>
    <w:p/>
    <w:p>
      <w:r>
        <w:t>The pre-split booked sample (51,380 accounts, 1,935 defaults, 3.8% base rate) is partitioned into: (1) a feature-discovery window for interaction search and stability selection, (2) an estimation window for model fitting, and (3) a calibration holdout (latest 15% by date) for probability calibration. The post-split booked matured subset (16,109 accounts, 611 defaults, 3.8% base rate) serves as the held-out evaluation sample.</w:t>
      </w:r>
    </w:p>
    <w:p>
      <w:pPr>
        <w:pStyle w:val="Heading2"/>
      </w:pPr>
      <w:r>
        <w:t>2.3 Temporal Design</w:t>
      </w:r>
    </w:p>
    <w:p>
      <w:r>
        <w:t>All data partitioning is strictly temporal to prevent information leakage. The split date (2024-07-01) separates development from the held-out test period. The maturity cutoff (2025-01-01) ensures that only accounts with a full 12-month observation window are included in evaluation. Within the development period, feature discovery uses the earliest data, model estimation uses the middle period, and calibration uses the latest block. No random shuffling or stratified splitting is used at any stage.</w:t>
      </w:r>
    </w:p>
    <w:p>
      <w:pPr>
        <w:pStyle w:val="Heading1"/>
      </w:pPr>
      <w:r>
        <w:t>3. Methodology</w:t>
      </w:r>
    </w:p>
    <w:p>
      <w:pPr>
        <w:pStyle w:val="Heading2"/>
      </w:pPr>
      <w:r>
        <w:t>3.1 Feature Engineering</w:t>
      </w:r>
    </w:p>
    <w:p>
      <w:r>
        <w:t>Starting from 15 raw numerical and 12 raw categorical features, the pipeline engineers additional signals in several families:</w:t>
      </w:r>
    </w:p>
    <w:p>
      <w:pPr>
        <w:pStyle w:val="ListBullet"/>
      </w:pPr>
      <w:r>
        <w:t>Affordability ratios: installment-to-income, amount-to-income, amount-per-month, and household-capacity variants</w:t>
      </w:r>
    </w:p>
    <w:p>
      <w:pPr>
        <w:pStyle w:val="ListBullet"/>
      </w:pPr>
      <w:r>
        <w:t>Portfolio composition: total products, book ratios for cards and loans, presence flags</w:t>
      </w:r>
    </w:p>
    <w:p>
      <w:pPr>
        <w:pStyle w:val="ListBullet"/>
      </w:pPr>
      <w:r>
        <w:t>Bureau-capacity transforms: log of income, loan amount, and maximum credit facility</w:t>
      </w:r>
    </w:p>
    <w:p>
      <w:pPr>
        <w:pStyle w:val="ListBullet"/>
      </w:pPr>
      <w:r>
        <w:t>Categorical interactions: targeted crosses of product type, housing, and customer-type segments</w:t>
      </w:r>
    </w:p>
    <w:p>
      <w:pPr>
        <w:pStyle w:val="ListBullet"/>
      </w:pPr>
      <w:r>
        <w:t>Missingness indicators: binary flags for fields with meaningful missing rates (&gt; 1%)</w:t>
      </w:r>
    </w:p>
    <w:p>
      <w:pPr>
        <w:pStyle w:val="ListBullet"/>
      </w:pPr>
      <w:r>
        <w:t>Frequency encodings: training-set category proportions as numerical features</w:t>
      </w:r>
    </w:p>
    <w:p>
      <w:pPr>
        <w:pStyle w:val="ListBullet"/>
      </w:pPr>
      <w:r>
        <w:t>Group-relative statistics: individual value divided by group median for key numeric-categorical pairs</w:t>
      </w:r>
    </w:p>
    <w:p>
      <w:pPr>
        <w:pStyle w:val="ListBullet"/>
      </w:pPr>
      <w:r>
        <w:t>Binned interactions: quantile-binned numerical features crossed with categorical values to capture threshold effects</w:t>
      </w:r>
    </w:p>
    <w:p>
      <w:pPr>
        <w:pStyle w:val="Heading2"/>
      </w:pPr>
      <w:r>
        <w:t>3.2 Feature Selection</w:t>
      </w:r>
    </w:p>
    <w:p>
      <w:r>
        <w:t>Feature selection uses temporal stability selection rather than classical RFECV. For each fold of an expanding temporal cross-validation, an elastic-net logistic regression (with grid-searched C and L1 ratio) is fitted on the preprocessed features. Features that receive a non-zero coefficient in &gt;= 50% of folds are retained. If fewer than 5 features pass the threshold, the top features by selection frequency are backfilled. This approach favors features whose predictive signal is stable across time periods rather than those that happen to be strong in a single window.</w:t>
      </w:r>
    </w:p>
    <w:p>
      <w:pPr>
        <w:pStyle w:val="Heading2"/>
      </w:pPr>
      <w:r>
        <w:t>3.3 Ablation Study</w:t>
      </w:r>
    </w:p>
    <w:p>
      <w:r>
        <w:t>An ablation study measures the incremental contribution of each feature engineering stage by training a Logistic Regression on progressively richer feature sets and evaluating on the held-out test: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18"/>
              </w:rPr>
              <w:t>Feature Set</w:t>
            </w:r>
          </w:p>
        </w:tc>
        <w:tc>
          <w:tcPr>
            <w:tcW w:type="dxa" w:w="2160"/>
            <w:shd w:val="clear" w:color="auto" w:fill="1F4E79"/>
          </w:tcPr>
          <w:p>
            <w:pPr>
              <w:jc w:val="center"/>
            </w:pPr>
            <w:r>
              <w:rPr>
                <w:b/>
                <w:color w:val="FFFFFF"/>
                <w:sz w:val="18"/>
              </w:rPr>
              <w:t>Features</w:t>
            </w:r>
          </w:p>
        </w:tc>
        <w:tc>
          <w:tcPr>
            <w:tcW w:type="dxa" w:w="2160"/>
            <w:shd w:val="clear" w:color="auto" w:fill="1F4E79"/>
          </w:tcPr>
          <w:p>
            <w:pPr>
              <w:jc w:val="center"/>
            </w:pPr>
            <w:r>
              <w:rPr>
                <w:b/>
                <w:color w:val="FFFFFF"/>
                <w:sz w:val="18"/>
              </w:rPr>
              <w:t>ROC AUC</w:t>
            </w:r>
          </w:p>
        </w:tc>
        <w:tc>
          <w:tcPr>
            <w:tcW w:type="dxa" w:w="2160"/>
            <w:shd w:val="clear" w:color="auto" w:fill="1F4E79"/>
          </w:tcPr>
          <w:p>
            <w:pPr>
              <w:jc w:val="center"/>
            </w:pPr>
            <w:r>
              <w:rPr>
                <w:b/>
                <w:color w:val="FFFFFF"/>
                <w:sz w:val="18"/>
              </w:rPr>
              <w:t>PR AUC</w:t>
            </w:r>
          </w:p>
        </w:tc>
      </w:tr>
      <w:tr>
        <w:tc>
          <w:tcPr>
            <w:tcW w:type="dxa" w:w="2160"/>
          </w:tcPr>
          <w:p>
            <w:pPr>
              <w:jc w:val="center"/>
            </w:pPr>
            <w:r>
              <w:rPr>
                <w:sz w:val="18"/>
              </w:rPr>
              <w:t>Raw Only</w:t>
            </w:r>
          </w:p>
        </w:tc>
        <w:tc>
          <w:tcPr>
            <w:tcW w:type="dxa" w:w="2160"/>
          </w:tcPr>
          <w:p>
            <w:pPr>
              <w:jc w:val="center"/>
            </w:pPr>
            <w:r>
              <w:rPr>
                <w:sz w:val="18"/>
              </w:rPr>
              <w:t>27</w:t>
            </w:r>
          </w:p>
        </w:tc>
        <w:tc>
          <w:tcPr>
            <w:tcW w:type="dxa" w:w="2160"/>
          </w:tcPr>
          <w:p>
            <w:pPr>
              <w:jc w:val="center"/>
            </w:pPr>
            <w:r>
              <w:rPr>
                <w:sz w:val="18"/>
              </w:rPr>
              <w:t>0.6534</w:t>
            </w:r>
          </w:p>
        </w:tc>
        <w:tc>
          <w:tcPr>
            <w:tcW w:type="dxa" w:w="2160"/>
          </w:tcPr>
          <w:p>
            <w:pPr>
              <w:jc w:val="center"/>
            </w:pPr>
            <w:r>
              <w:rPr>
                <w:sz w:val="18"/>
              </w:rPr>
              <w:t>0.0646</w:t>
            </w:r>
          </w:p>
        </w:tc>
      </w:tr>
      <w:tr>
        <w:tc>
          <w:tcPr>
            <w:tcW w:type="dxa" w:w="2160"/>
          </w:tcPr>
          <w:p>
            <w:pPr>
              <w:jc w:val="center"/>
            </w:pPr>
            <w:r>
              <w:rPr>
                <w:sz w:val="18"/>
              </w:rPr>
              <w:t>Raw Plus Engineered</w:t>
            </w:r>
          </w:p>
        </w:tc>
        <w:tc>
          <w:tcPr>
            <w:tcW w:type="dxa" w:w="2160"/>
          </w:tcPr>
          <w:p>
            <w:pPr>
              <w:jc w:val="center"/>
            </w:pPr>
            <w:r>
              <w:rPr>
                <w:sz w:val="18"/>
              </w:rPr>
              <w:t>52</w:t>
            </w:r>
          </w:p>
        </w:tc>
        <w:tc>
          <w:tcPr>
            <w:tcW w:type="dxa" w:w="2160"/>
          </w:tcPr>
          <w:p>
            <w:pPr>
              <w:jc w:val="center"/>
            </w:pPr>
            <w:r>
              <w:rPr>
                <w:sz w:val="18"/>
              </w:rPr>
              <w:t>0.6622</w:t>
            </w:r>
          </w:p>
        </w:tc>
        <w:tc>
          <w:tcPr>
            <w:tcW w:type="dxa" w:w="2160"/>
          </w:tcPr>
          <w:p>
            <w:pPr>
              <w:jc w:val="center"/>
            </w:pPr>
            <w:r>
              <w:rPr>
                <w:sz w:val="18"/>
              </w:rPr>
              <w:t>0.0681</w:t>
            </w:r>
          </w:p>
        </w:tc>
      </w:tr>
      <w:tr>
        <w:tc>
          <w:tcPr>
            <w:tcW w:type="dxa" w:w="2160"/>
          </w:tcPr>
          <w:p>
            <w:pPr>
              <w:jc w:val="center"/>
            </w:pPr>
            <w:r>
              <w:rPr>
                <w:sz w:val="18"/>
              </w:rPr>
              <w:t>With Discovery Interactions</w:t>
            </w:r>
          </w:p>
        </w:tc>
        <w:tc>
          <w:tcPr>
            <w:tcW w:type="dxa" w:w="2160"/>
          </w:tcPr>
          <w:p>
            <w:pPr>
              <w:jc w:val="center"/>
            </w:pPr>
            <w:r>
              <w:rPr>
                <w:sz w:val="18"/>
              </w:rPr>
              <w:t>106</w:t>
            </w:r>
          </w:p>
        </w:tc>
        <w:tc>
          <w:tcPr>
            <w:tcW w:type="dxa" w:w="2160"/>
          </w:tcPr>
          <w:p>
            <w:pPr>
              <w:jc w:val="center"/>
            </w:pPr>
            <w:r>
              <w:rPr>
                <w:sz w:val="18"/>
              </w:rPr>
              <w:t>0.6574</w:t>
            </w:r>
          </w:p>
        </w:tc>
        <w:tc>
          <w:tcPr>
            <w:tcW w:type="dxa" w:w="2160"/>
          </w:tcPr>
          <w:p>
            <w:pPr>
              <w:jc w:val="center"/>
            </w:pPr>
            <w:r>
              <w:rPr>
                <w:sz w:val="18"/>
              </w:rPr>
              <w:t>0.0652</w:t>
            </w:r>
          </w:p>
        </w:tc>
      </w:tr>
      <w:tr>
        <w:tc>
          <w:tcPr>
            <w:tcW w:type="dxa" w:w="2160"/>
          </w:tcPr>
          <w:p>
            <w:pPr>
              <w:jc w:val="center"/>
            </w:pPr>
            <w:r>
              <w:rPr>
                <w:sz w:val="18"/>
              </w:rPr>
              <w:t>Candidate Feature Space</w:t>
            </w:r>
          </w:p>
        </w:tc>
        <w:tc>
          <w:tcPr>
            <w:tcW w:type="dxa" w:w="2160"/>
          </w:tcPr>
          <w:p>
            <w:pPr>
              <w:jc w:val="center"/>
            </w:pPr>
            <w:r>
              <w:rPr>
                <w:sz w:val="18"/>
              </w:rPr>
              <w:t>146</w:t>
            </w:r>
          </w:p>
        </w:tc>
        <w:tc>
          <w:tcPr>
            <w:tcW w:type="dxa" w:w="2160"/>
          </w:tcPr>
          <w:p>
            <w:pPr>
              <w:jc w:val="center"/>
            </w:pPr>
            <w:r>
              <w:rPr>
                <w:sz w:val="18"/>
              </w:rPr>
              <w:t>0.6490</w:t>
            </w:r>
          </w:p>
        </w:tc>
        <w:tc>
          <w:tcPr>
            <w:tcW w:type="dxa" w:w="2160"/>
          </w:tcPr>
          <w:p>
            <w:pPr>
              <w:jc w:val="center"/>
            </w:pPr>
            <w:r>
              <w:rPr>
                <w:sz w:val="18"/>
              </w:rPr>
              <w:t>0.0618</w:t>
            </w:r>
          </w:p>
        </w:tc>
      </w:tr>
      <w:tr>
        <w:tc>
          <w:tcPr>
            <w:tcW w:type="dxa" w:w="2160"/>
          </w:tcPr>
          <w:p>
            <w:pPr>
              <w:jc w:val="center"/>
            </w:pPr>
            <w:r>
              <w:rPr>
                <w:sz w:val="18"/>
              </w:rPr>
              <w:t>Frozen Feature Space</w:t>
            </w:r>
          </w:p>
        </w:tc>
        <w:tc>
          <w:tcPr>
            <w:tcW w:type="dxa" w:w="2160"/>
          </w:tcPr>
          <w:p>
            <w:pPr>
              <w:jc w:val="center"/>
            </w:pPr>
            <w:r>
              <w:rPr>
                <w:sz w:val="18"/>
              </w:rPr>
              <w:t>91</w:t>
            </w:r>
          </w:p>
        </w:tc>
        <w:tc>
          <w:tcPr>
            <w:tcW w:type="dxa" w:w="2160"/>
          </w:tcPr>
          <w:p>
            <w:pPr>
              <w:jc w:val="center"/>
            </w:pPr>
            <w:r>
              <w:rPr>
                <w:sz w:val="18"/>
              </w:rPr>
              <w:t>0.6569</w:t>
            </w:r>
          </w:p>
        </w:tc>
        <w:tc>
          <w:tcPr>
            <w:tcW w:type="dxa" w:w="2160"/>
          </w:tcPr>
          <w:p>
            <w:pPr>
              <w:jc w:val="center"/>
            </w:pPr>
            <w:r>
              <w:rPr>
                <w:sz w:val="18"/>
              </w:rPr>
              <w:t>0.0613</w:t>
            </w:r>
          </w:p>
        </w:tc>
      </w:tr>
      <w:tr>
        <w:tc>
          <w:tcPr>
            <w:tcW w:type="dxa" w:w="2160"/>
          </w:tcPr>
          <w:p>
            <w:pPr>
              <w:jc w:val="center"/>
            </w:pPr>
            <w:r>
              <w:rPr>
                <w:sz w:val="18"/>
              </w:rPr>
              <w:t>Uncalibrated</w:t>
            </w:r>
          </w:p>
        </w:tc>
        <w:tc>
          <w:tcPr>
            <w:tcW w:type="dxa" w:w="2160"/>
          </w:tcPr>
          <w:p>
            <w:pPr>
              <w:jc w:val="center"/>
            </w:pPr>
            <w:r>
              <w:rPr>
                <w:sz w:val="18"/>
              </w:rPr>
              <w:t>91</w:t>
            </w:r>
          </w:p>
        </w:tc>
        <w:tc>
          <w:tcPr>
            <w:tcW w:type="dxa" w:w="2160"/>
          </w:tcPr>
          <w:p>
            <w:pPr>
              <w:jc w:val="center"/>
            </w:pPr>
            <w:r>
              <w:rPr>
                <w:sz w:val="18"/>
              </w:rPr>
              <w:t>0.6569</w:t>
            </w:r>
          </w:p>
        </w:tc>
        <w:tc>
          <w:tcPr>
            <w:tcW w:type="dxa" w:w="2160"/>
          </w:tcPr>
          <w:p>
            <w:pPr>
              <w:jc w:val="center"/>
            </w:pPr>
            <w:r>
              <w:rPr>
                <w:sz w:val="18"/>
              </w:rPr>
              <w:t>0.0613</w:t>
            </w:r>
          </w:p>
        </w:tc>
      </w:tr>
      <w:tr>
        <w:tc>
          <w:tcPr>
            <w:tcW w:type="dxa" w:w="2160"/>
          </w:tcPr>
          <w:p>
            <w:pPr>
              <w:jc w:val="center"/>
            </w:pPr>
            <w:r>
              <w:rPr>
                <w:sz w:val="18"/>
              </w:rPr>
              <w:t>Sigmoid Calibrated</w:t>
            </w:r>
          </w:p>
        </w:tc>
        <w:tc>
          <w:tcPr>
            <w:tcW w:type="dxa" w:w="2160"/>
          </w:tcPr>
          <w:p>
            <w:pPr>
              <w:jc w:val="center"/>
            </w:pPr>
            <w:r>
              <w:rPr>
                <w:sz w:val="18"/>
              </w:rPr>
              <w:t>91</w:t>
            </w:r>
          </w:p>
        </w:tc>
        <w:tc>
          <w:tcPr>
            <w:tcW w:type="dxa" w:w="2160"/>
          </w:tcPr>
          <w:p>
            <w:pPr>
              <w:jc w:val="center"/>
            </w:pPr>
            <w:r>
              <w:rPr>
                <w:sz w:val="18"/>
              </w:rPr>
              <w:t>0.6569</w:t>
            </w:r>
          </w:p>
        </w:tc>
        <w:tc>
          <w:tcPr>
            <w:tcW w:type="dxa" w:w="2160"/>
          </w:tcPr>
          <w:p>
            <w:pPr>
              <w:jc w:val="center"/>
            </w:pPr>
            <w:r>
              <w:rPr>
                <w:sz w:val="18"/>
              </w:rPr>
              <w:t>0.0613</w:t>
            </w:r>
          </w:p>
        </w:tc>
      </w:tr>
    </w:tbl>
    <w:p/>
    <w:p>
      <w:r>
        <w:t>The ablation reveals that engineered features (affordability ratios, log transforms) provide the largest marginal lift over raw inputs. The interaction search and stability selection refine the feature set but their primary value is regularization rather than discrimination gain.</w:t>
      </w:r>
    </w:p>
    <w:p>
      <w:pPr>
        <w:pStyle w:val="Heading2"/>
      </w:pPr>
      <w:r>
        <w:t>3.4 Model Training</w:t>
      </w:r>
    </w:p>
    <w:p>
      <w:r>
        <w:t>Four candidate architectures are trained with Optuna Bayesian hyperparameter optimization using multivariate TPE sampling (models correlations between hyperparameters) and median pruning (terminates unpromising trials after the first 1-2 cross-validation folds).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18"/>
              </w:rPr>
              <w:t>Model</w:t>
            </w:r>
          </w:p>
        </w:tc>
        <w:tc>
          <w:tcPr>
            <w:tcW w:type="dxa" w:w="2160"/>
            <w:shd w:val="clear" w:color="auto" w:fill="1F4E79"/>
          </w:tcPr>
          <w:p>
            <w:pPr>
              <w:jc w:val="center"/>
            </w:pPr>
            <w:r>
              <w:rPr>
                <w:b/>
                <w:color w:val="FFFFFF"/>
                <w:sz w:val="18"/>
              </w:rPr>
              <w:t>Approach</w:t>
            </w:r>
          </w:p>
        </w:tc>
        <w:tc>
          <w:tcPr>
            <w:tcW w:type="dxa" w:w="2160"/>
            <w:shd w:val="clear" w:color="auto" w:fill="1F4E79"/>
          </w:tcPr>
          <w:p>
            <w:pPr>
              <w:jc w:val="center"/>
            </w:pPr>
            <w:r>
              <w:rPr>
                <w:b/>
                <w:color w:val="FFFFFF"/>
                <w:sz w:val="18"/>
              </w:rPr>
              <w:t>Calibration</w:t>
            </w:r>
          </w:p>
        </w:tc>
        <w:tc>
          <w:tcPr>
            <w:tcW w:type="dxa" w:w="2160"/>
            <w:shd w:val="clear" w:color="auto" w:fill="1F4E79"/>
          </w:tcPr>
          <w:p>
            <w:pPr>
              <w:jc w:val="center"/>
            </w:pPr>
            <w:r>
              <w:rPr>
                <w:b/>
                <w:color w:val="FFFFFF"/>
                <w:sz w:val="18"/>
              </w:rPr>
              <w:t>Key Regularization</w:t>
            </w:r>
          </w:p>
        </w:tc>
      </w:tr>
      <w:tr>
        <w:tc>
          <w:tcPr>
            <w:tcW w:type="dxa" w:w="2160"/>
          </w:tcPr>
          <w:p>
            <w:pPr>
              <w:jc w:val="center"/>
            </w:pPr>
            <w:r>
              <w:rPr>
                <w:sz w:val="18"/>
              </w:rPr>
              <w:t>Logistic Regression</w:t>
            </w:r>
          </w:p>
        </w:tc>
        <w:tc>
          <w:tcPr>
            <w:tcW w:type="dxa" w:w="2160"/>
          </w:tcPr>
          <w:p>
            <w:pPr>
              <w:jc w:val="center"/>
            </w:pPr>
            <w:r>
              <w:rPr>
                <w:sz w:val="18"/>
              </w:rPr>
              <w:t>L2-penalized, LBFGS solver, C and TargetEncoder smooth tuned jointly</w:t>
            </w:r>
          </w:p>
        </w:tc>
        <w:tc>
          <w:tcPr>
            <w:tcW w:type="dxa" w:w="2160"/>
          </w:tcPr>
          <w:p>
            <w:pPr>
              <w:jc w:val="center"/>
            </w:pPr>
            <w:r>
              <w:rPr>
                <w:sz w:val="18"/>
              </w:rPr>
              <w:t>Sigmoid (Platt)</w:t>
            </w:r>
          </w:p>
        </w:tc>
        <w:tc>
          <w:tcPr>
            <w:tcW w:type="dxa" w:w="2160"/>
          </w:tcPr>
          <w:p>
            <w:pPr>
              <w:jc w:val="center"/>
            </w:pPr>
            <w:r>
              <w:rPr>
                <w:sz w:val="18"/>
              </w:rPr>
              <w:t>class_weight='balanced'</w:t>
            </w:r>
          </w:p>
        </w:tc>
      </w:tr>
      <w:tr>
        <w:tc>
          <w:tcPr>
            <w:tcW w:type="dxa" w:w="2160"/>
          </w:tcPr>
          <w:p>
            <w:pPr>
              <w:jc w:val="center"/>
            </w:pPr>
            <w:r>
              <w:rPr>
                <w:sz w:val="18"/>
              </w:rPr>
              <w:t>LightGBM</w:t>
            </w:r>
          </w:p>
        </w:tc>
        <w:tc>
          <w:tcPr>
            <w:tcW w:type="dxa" w:w="2160"/>
          </w:tcPr>
          <w:p>
            <w:pPr>
              <w:jc w:val="center"/>
            </w:pPr>
            <w:r>
              <w:rPr>
                <w:sz w:val="18"/>
              </w:rPr>
              <w:t>Gradient boosting, native categorical handling via ordinal encoding</w:t>
            </w:r>
          </w:p>
        </w:tc>
        <w:tc>
          <w:tcPr>
            <w:tcW w:type="dxa" w:w="2160"/>
          </w:tcPr>
          <w:p>
            <w:pPr>
              <w:jc w:val="center"/>
            </w:pPr>
            <w:r>
              <w:rPr>
                <w:sz w:val="18"/>
              </w:rPr>
              <w:t>Isotonic</w:t>
            </w:r>
          </w:p>
        </w:tc>
        <w:tc>
          <w:tcPr>
            <w:tcW w:type="dxa" w:w="2160"/>
          </w:tcPr>
          <w:p>
            <w:pPr>
              <w:jc w:val="center"/>
            </w:pPr>
            <w:r>
              <w:rPr>
                <w:sz w:val="18"/>
              </w:rPr>
              <w:t>num_leaves 8-31, max_bin 63-127, colsample_bynode 0.6-1.0, early stopping after 30 rounds</w:t>
            </w:r>
          </w:p>
        </w:tc>
      </w:tr>
      <w:tr>
        <w:tc>
          <w:tcPr>
            <w:tcW w:type="dxa" w:w="2160"/>
          </w:tcPr>
          <w:p>
            <w:pPr>
              <w:jc w:val="center"/>
            </w:pPr>
            <w:r>
              <w:rPr>
                <w:sz w:val="18"/>
              </w:rPr>
              <w:t>XGBoost</w:t>
            </w:r>
          </w:p>
        </w:tc>
        <w:tc>
          <w:tcPr>
            <w:tcW w:type="dxa" w:w="2160"/>
          </w:tcPr>
          <w:p>
            <w:pPr>
              <w:jc w:val="center"/>
            </w:pPr>
            <w:r>
              <w:rPr>
                <w:sz w:val="18"/>
              </w:rPr>
              <w:t>Gradient boosting, TargetEncoder preprocessing</w:t>
            </w:r>
          </w:p>
        </w:tc>
        <w:tc>
          <w:tcPr>
            <w:tcW w:type="dxa" w:w="2160"/>
          </w:tcPr>
          <w:p>
            <w:pPr>
              <w:jc w:val="center"/>
            </w:pPr>
            <w:r>
              <w:rPr>
                <w:sz w:val="18"/>
              </w:rPr>
              <w:t>Isotonic</w:t>
            </w:r>
          </w:p>
        </w:tc>
        <w:tc>
          <w:tcPr>
            <w:tcW w:type="dxa" w:w="2160"/>
          </w:tcPr>
          <w:p>
            <w:pPr>
              <w:jc w:val="center"/>
            </w:pPr>
            <w:r>
              <w:rPr>
                <w:sz w:val="18"/>
              </w:rPr>
              <w:t>max_depth 2-4, min_child_weight 20-100, colsample_bynode 0.6-1.0, early stopping after 30 rounds</w:t>
            </w:r>
          </w:p>
        </w:tc>
      </w:tr>
      <w:tr>
        <w:tc>
          <w:tcPr>
            <w:tcW w:type="dxa" w:w="2160"/>
          </w:tcPr>
          <w:p>
            <w:pPr>
              <w:jc w:val="center"/>
            </w:pPr>
            <w:r>
              <w:rPr>
                <w:sz w:val="18"/>
              </w:rPr>
              <w:t>CatBoost</w:t>
            </w:r>
          </w:p>
        </w:tc>
        <w:tc>
          <w:tcPr>
            <w:tcW w:type="dxa" w:w="2160"/>
          </w:tcPr>
          <w:p>
            <w:pPr>
              <w:jc w:val="center"/>
            </w:pPr>
            <w:r>
              <w:rPr>
                <w:sz w:val="18"/>
              </w:rPr>
              <w:t>Oblivious gradient boosting, balanced class weights</w:t>
            </w:r>
          </w:p>
        </w:tc>
        <w:tc>
          <w:tcPr>
            <w:tcW w:type="dxa" w:w="2160"/>
          </w:tcPr>
          <w:p>
            <w:pPr>
              <w:jc w:val="center"/>
            </w:pPr>
            <w:r>
              <w:rPr>
                <w:sz w:val="18"/>
              </w:rPr>
              <w:t>Isotonic</w:t>
            </w:r>
          </w:p>
        </w:tc>
        <w:tc>
          <w:tcPr>
            <w:tcW w:type="dxa" w:w="2160"/>
          </w:tcPr>
          <w:p>
            <w:pPr>
              <w:jc w:val="center"/>
            </w:pPr>
            <w:r>
              <w:rPr>
                <w:sz w:val="18"/>
              </w:rPr>
              <w:t>depth 3-5, min_data_in_leaf 50-300, early stopping after 30 rounds</w:t>
            </w:r>
          </w:p>
        </w:tc>
      </w:tr>
    </w:tbl>
    <w:p/>
    <w:p>
      <w:r>
        <w:t>Tree complexity bounds are deliberately tightened for the low (~3.8%) default rate: shallow depths, high minimum leaf sizes, coarse histogram bins, and aggressive per-node feature subsampling. When reject-inference sample weights are provided, scale_pos_weight is disabled to avoid double-rebalancing the minority class.</w:t>
      </w:r>
    </w:p>
    <w:p>
      <w:pPr>
        <w:pStyle w:val="Heading2"/>
      </w:pPr>
      <w:r>
        <w:t>3.5 Calibration</w:t>
      </w:r>
    </w:p>
    <w:p>
      <w:r>
        <w:t>Probability calibration is fitted on the latest pre-split booked holdout (15% of development data by date). Isotonic calibration is used for tree models because their output distributions are step-functions that violate the linear log-odds assumption of Platt scaling. Sigmoid (Platt) calibration is retained for Logistic Regression, whose output is already in log-odds form. The model selection scorecard evaluates calibration quality using the calibrated Brier score, since that reflects production probability quality.</w:t>
      </w:r>
    </w:p>
    <w:p>
      <w:pPr>
        <w:pStyle w:val="Heading2"/>
      </w:pPr>
      <w:r>
        <w:t>3.6 Model Selection Framework</w:t>
      </w:r>
    </w:p>
    <w:p>
      <w:r>
        <w:t>A weighted multi-criteria scorecard ranks candidates on five dimensions, each normalized to a 0-100 scale across the candidate set: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18"/>
              </w:rPr>
              <w:t>Criterion</w:t>
            </w:r>
          </w:p>
        </w:tc>
        <w:tc>
          <w:tcPr>
            <w:tcW w:type="dxa" w:w="2160"/>
            <w:shd w:val="clear" w:color="auto" w:fill="1F4E79"/>
          </w:tcPr>
          <w:p>
            <w:pPr>
              <w:jc w:val="center"/>
            </w:pPr>
            <w:r>
              <w:rPr>
                <w:b/>
                <w:color w:val="FFFFFF"/>
                <w:sz w:val="18"/>
              </w:rPr>
              <w:t>Weight</w:t>
            </w:r>
          </w:p>
        </w:tc>
        <w:tc>
          <w:tcPr>
            <w:tcW w:type="dxa" w:w="2160"/>
            <w:shd w:val="clear" w:color="auto" w:fill="1F4E79"/>
          </w:tcPr>
          <w:p>
            <w:pPr>
              <w:jc w:val="center"/>
            </w:pPr>
            <w:r>
              <w:rPr>
                <w:b/>
                <w:color w:val="FFFFFF"/>
                <w:sz w:val="18"/>
              </w:rPr>
              <w:t>Source</w:t>
            </w:r>
          </w:p>
        </w:tc>
        <w:tc>
          <w:tcPr>
            <w:tcW w:type="dxa" w:w="2160"/>
            <w:shd w:val="clear" w:color="auto" w:fill="1F4E79"/>
          </w:tcPr>
          <w:p>
            <w:pPr>
              <w:jc w:val="center"/>
            </w:pPr>
            <w:r>
              <w:rPr>
                <w:b/>
                <w:color w:val="FFFFFF"/>
                <w:sz w:val="18"/>
              </w:rPr>
              <w:t>Rationale</w:t>
            </w:r>
          </w:p>
        </w:tc>
      </w:tr>
      <w:tr>
        <w:tc>
          <w:tcPr>
            <w:tcW w:type="dxa" w:w="2160"/>
          </w:tcPr>
          <w:p>
            <w:pPr>
              <w:jc w:val="center"/>
            </w:pPr>
            <w:r>
              <w:rPr>
                <w:sz w:val="18"/>
              </w:rPr>
              <w:t>Discrimination</w:t>
            </w:r>
          </w:p>
        </w:tc>
        <w:tc>
          <w:tcPr>
            <w:tcW w:type="dxa" w:w="2160"/>
          </w:tcPr>
          <w:p>
            <w:pPr>
              <w:jc w:val="center"/>
            </w:pPr>
            <w:r>
              <w:rPr>
                <w:sz w:val="18"/>
              </w:rPr>
              <w:t>35%</w:t>
            </w:r>
          </w:p>
        </w:tc>
        <w:tc>
          <w:tcPr>
            <w:tcW w:type="dxa" w:w="2160"/>
          </w:tcPr>
          <w:p>
            <w:pPr>
              <w:jc w:val="center"/>
            </w:pPr>
            <w:r>
              <w:rPr>
                <w:sz w:val="18"/>
              </w:rPr>
              <w:t>Test PR AUC</w:t>
            </w:r>
          </w:p>
        </w:tc>
        <w:tc>
          <w:tcPr>
            <w:tcW w:type="dxa" w:w="2160"/>
          </w:tcPr>
          <w:p>
            <w:pPr>
              <w:jc w:val="center"/>
            </w:pPr>
            <w:r>
              <w:rPr>
                <w:sz w:val="18"/>
              </w:rPr>
              <w:t>Primary measure of risk ranking quality on imbalanced data</w:t>
            </w:r>
          </w:p>
        </w:tc>
      </w:tr>
      <w:tr>
        <w:tc>
          <w:tcPr>
            <w:tcW w:type="dxa" w:w="2160"/>
          </w:tcPr>
          <w:p>
            <w:pPr>
              <w:jc w:val="center"/>
            </w:pPr>
            <w:r>
              <w:rPr>
                <w:sz w:val="18"/>
              </w:rPr>
              <w:t>Stability</w:t>
            </w:r>
          </w:p>
        </w:tc>
        <w:tc>
          <w:tcPr>
            <w:tcW w:type="dxa" w:w="2160"/>
          </w:tcPr>
          <w:p>
            <w:pPr>
              <w:jc w:val="center"/>
            </w:pPr>
            <w:r>
              <w:rPr>
                <w:sz w:val="18"/>
              </w:rPr>
              <w:t>20%</w:t>
            </w:r>
          </w:p>
        </w:tc>
        <w:tc>
          <w:tcPr>
            <w:tcW w:type="dxa" w:w="2160"/>
          </w:tcPr>
          <w:p>
            <w:pPr>
              <w:jc w:val="center"/>
            </w:pPr>
            <w:r>
              <w:rPr>
                <w:sz w:val="18"/>
              </w:rPr>
              <w:t>Rolling OOT mean PR AUC</w:t>
            </w:r>
          </w:p>
        </w:tc>
        <w:tc>
          <w:tcPr>
            <w:tcW w:type="dxa" w:w="2160"/>
          </w:tcPr>
          <w:p>
            <w:pPr>
              <w:jc w:val="center"/>
            </w:pPr>
            <w:r>
              <w:rPr>
                <w:sz w:val="18"/>
              </w:rPr>
              <w:t>Rewards models whose performance holds across multiple forward time windows</w:t>
            </w:r>
          </w:p>
        </w:tc>
      </w:tr>
      <w:tr>
        <w:tc>
          <w:tcPr>
            <w:tcW w:type="dxa" w:w="2160"/>
          </w:tcPr>
          <w:p>
            <w:pPr>
              <w:jc w:val="center"/>
            </w:pPr>
            <w:r>
              <w:rPr>
                <w:sz w:val="18"/>
              </w:rPr>
              <w:t>Calibration</w:t>
            </w:r>
          </w:p>
        </w:tc>
        <w:tc>
          <w:tcPr>
            <w:tcW w:type="dxa" w:w="2160"/>
          </w:tcPr>
          <w:p>
            <w:pPr>
              <w:jc w:val="center"/>
            </w:pPr>
            <w:r>
              <w:rPr>
                <w:sz w:val="18"/>
              </w:rPr>
              <w:t>15%</w:t>
            </w:r>
          </w:p>
        </w:tc>
        <w:tc>
          <w:tcPr>
            <w:tcW w:type="dxa" w:w="2160"/>
          </w:tcPr>
          <w:p>
            <w:pPr>
              <w:jc w:val="center"/>
            </w:pPr>
            <w:r>
              <w:rPr>
                <w:sz w:val="18"/>
              </w:rPr>
              <w:t>Calibrated Brier score</w:t>
            </w:r>
          </w:p>
        </w:tc>
        <w:tc>
          <w:tcPr>
            <w:tcW w:type="dxa" w:w="2160"/>
          </w:tcPr>
          <w:p>
            <w:pPr>
              <w:jc w:val="center"/>
            </w:pPr>
            <w:r>
              <w:rPr>
                <w:sz w:val="18"/>
              </w:rPr>
              <w:t>Assesses whether predicted probabilities are trustworthy for pricing</w:t>
            </w:r>
          </w:p>
        </w:tc>
      </w:tr>
      <w:tr>
        <w:tc>
          <w:tcPr>
            <w:tcW w:type="dxa" w:w="2160"/>
          </w:tcPr>
          <w:p>
            <w:pPr>
              <w:jc w:val="center"/>
            </w:pPr>
            <w:r>
              <w:rPr>
                <w:sz w:val="18"/>
              </w:rPr>
              <w:t>Generalization</w:t>
            </w:r>
          </w:p>
        </w:tc>
        <w:tc>
          <w:tcPr>
            <w:tcW w:type="dxa" w:w="2160"/>
          </w:tcPr>
          <w:p>
            <w:pPr>
              <w:jc w:val="center"/>
            </w:pPr>
            <w:r>
              <w:rPr>
                <w:sz w:val="18"/>
              </w:rPr>
              <w:t>15%</w:t>
            </w:r>
          </w:p>
        </w:tc>
        <w:tc>
          <w:tcPr>
            <w:tcW w:type="dxa" w:w="2160"/>
          </w:tcPr>
          <w:p>
            <w:pPr>
              <w:jc w:val="center"/>
            </w:pPr>
            <w:r>
              <w:rPr>
                <w:sz w:val="18"/>
              </w:rPr>
              <w:t>Train-test AUC delta</w:t>
            </w:r>
          </w:p>
        </w:tc>
        <w:tc>
          <w:tcPr>
            <w:tcW w:type="dxa" w:w="2160"/>
          </w:tcPr>
          <w:p>
            <w:pPr>
              <w:jc w:val="center"/>
            </w:pPr>
            <w:r>
              <w:rPr>
                <w:sz w:val="18"/>
              </w:rPr>
              <w:t>Penalizes overfitting: 0 penalty if delta &lt;= 0.01, full penalty at 0.10</w:t>
            </w:r>
          </w:p>
        </w:tc>
      </w:tr>
      <w:tr>
        <w:tc>
          <w:tcPr>
            <w:tcW w:type="dxa" w:w="2160"/>
          </w:tcPr>
          <w:p>
            <w:pPr>
              <w:jc w:val="center"/>
            </w:pPr>
            <w:r>
              <w:rPr>
                <w:sz w:val="18"/>
              </w:rPr>
              <w:t>Benchmark lift</w:t>
            </w:r>
          </w:p>
        </w:tc>
        <w:tc>
          <w:tcPr>
            <w:tcW w:type="dxa" w:w="2160"/>
          </w:tcPr>
          <w:p>
            <w:pPr>
              <w:jc w:val="center"/>
            </w:pPr>
            <w:r>
              <w:rPr>
                <w:sz w:val="18"/>
              </w:rPr>
              <w:t>15%</w:t>
            </w:r>
          </w:p>
        </w:tc>
        <w:tc>
          <w:tcPr>
            <w:tcW w:type="dxa" w:w="2160"/>
          </w:tcPr>
          <w:p>
            <w:pPr>
              <w:jc w:val="center"/>
            </w:pPr>
            <w:r>
              <w:rPr>
                <w:sz w:val="18"/>
              </w:rPr>
              <w:t>Best AUC improvement vs benchmarks</w:t>
            </w:r>
          </w:p>
        </w:tc>
        <w:tc>
          <w:tcPr>
            <w:tcW w:type="dxa" w:w="2160"/>
          </w:tcPr>
          <w:p>
            <w:pPr>
              <w:jc w:val="center"/>
            </w:pPr>
            <w:r>
              <w:rPr>
                <w:sz w:val="18"/>
              </w:rPr>
              <w:t>Rewards improvement over existing production scores</w:t>
            </w:r>
          </w:p>
        </w:tc>
      </w:tr>
    </w:tbl>
    <w:p/>
    <w:p>
      <w:pPr>
        <w:pStyle w:val="Heading1"/>
      </w:pPr>
      <w:r>
        <w:t>4. Results</w:t>
      </w:r>
    </w:p>
    <w:p>
      <w:pPr>
        <w:pStyle w:val="Heading2"/>
      </w:pPr>
      <w:r>
        <w:t>4.1 Held-Out Test Performance</w:t>
      </w:r>
    </w:p>
    <w:p>
      <w:r>
        <w:t>The table below reports performance on 16,109 held-out booked accounts from July 2024 to January 2025, with 611 observed defaults (3.8% base rate). Models are sorted by PR AUC, which is the primary metric for imbalanced classification where the cost of missed defaults greatly exceeds the cost of false alarms.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pPr>
              <w:jc w:val="center"/>
            </w:pPr>
            <w:r>
              <w:rPr>
                <w:b/>
                <w:color w:val="FFFFFF"/>
                <w:sz w:val="18"/>
              </w:rPr>
              <w:t>Model</w:t>
            </w:r>
          </w:p>
        </w:tc>
        <w:tc>
          <w:tcPr>
            <w:tcW w:type="dxa" w:w="1440"/>
            <w:shd w:val="clear" w:color="auto" w:fill="1F4E79"/>
          </w:tcPr>
          <w:p>
            <w:pPr>
              <w:jc w:val="center"/>
            </w:pPr>
            <w:r>
              <w:rPr>
                <w:b/>
                <w:color w:val="FFFFFF"/>
                <w:sz w:val="18"/>
              </w:rPr>
              <w:t>ROC AUC</w:t>
            </w:r>
          </w:p>
        </w:tc>
        <w:tc>
          <w:tcPr>
            <w:tcW w:type="dxa" w:w="1440"/>
            <w:shd w:val="clear" w:color="auto" w:fill="1F4E79"/>
          </w:tcPr>
          <w:p>
            <w:pPr>
              <w:jc w:val="center"/>
            </w:pPr>
            <w:r>
              <w:rPr>
                <w:b/>
                <w:color w:val="FFFFFF"/>
                <w:sz w:val="18"/>
              </w:rPr>
              <w:t>Gini</w:t>
            </w:r>
          </w:p>
        </w:tc>
        <w:tc>
          <w:tcPr>
            <w:tcW w:type="dxa" w:w="1440"/>
            <w:shd w:val="clear" w:color="auto" w:fill="1F4E79"/>
          </w:tcPr>
          <w:p>
            <w:pPr>
              <w:jc w:val="center"/>
            </w:pPr>
            <w:r>
              <w:rPr>
                <w:b/>
                <w:color w:val="FFFFFF"/>
                <w:sz w:val="18"/>
              </w:rPr>
              <w:t>KS</w:t>
            </w:r>
          </w:p>
        </w:tc>
        <w:tc>
          <w:tcPr>
            <w:tcW w:type="dxa" w:w="1440"/>
            <w:shd w:val="clear" w:color="auto" w:fill="1F4E79"/>
          </w:tcPr>
          <w:p>
            <w:pPr>
              <w:jc w:val="center"/>
            </w:pPr>
            <w:r>
              <w:rPr>
                <w:b/>
                <w:color w:val="FFFFFF"/>
                <w:sz w:val="18"/>
              </w:rPr>
              <w:t>PR AUC</w:t>
            </w:r>
          </w:p>
        </w:tc>
        <w:tc>
          <w:tcPr>
            <w:tcW w:type="dxa" w:w="1440"/>
            <w:shd w:val="clear" w:color="auto" w:fill="1F4E79"/>
          </w:tcPr>
          <w:p>
            <w:pPr>
              <w:jc w:val="center"/>
            </w:pPr>
            <w:r>
              <w:rPr>
                <w:b/>
                <w:color w:val="FFFFFF"/>
                <w:sz w:val="18"/>
              </w:rPr>
              <w:t>Brier</w:t>
            </w:r>
          </w:p>
        </w:tc>
      </w:tr>
      <w:tr>
        <w:tc>
          <w:tcPr>
            <w:tcW w:type="dxa" w:w="1440"/>
          </w:tcPr>
          <w:p>
            <w:pPr>
              <w:jc w:val="center"/>
            </w:pPr>
            <w:r>
              <w:rPr>
                <w:sz w:val="18"/>
              </w:rPr>
              <w:t>risk_score_rf (benchmark)</w:t>
            </w:r>
          </w:p>
        </w:tc>
        <w:tc>
          <w:tcPr>
            <w:tcW w:type="dxa" w:w="1440"/>
          </w:tcPr>
          <w:p>
            <w:pPr>
              <w:jc w:val="center"/>
            </w:pPr>
            <w:r>
              <w:rPr>
                <w:sz w:val="18"/>
              </w:rPr>
              <w:t>0.6613</w:t>
            </w:r>
          </w:p>
        </w:tc>
        <w:tc>
          <w:tcPr>
            <w:tcW w:type="dxa" w:w="1440"/>
          </w:tcPr>
          <w:p>
            <w:pPr>
              <w:jc w:val="center"/>
            </w:pPr>
            <w:r>
              <w:rPr>
                <w:sz w:val="18"/>
              </w:rPr>
              <w:t>0.3225</w:t>
            </w:r>
          </w:p>
        </w:tc>
        <w:tc>
          <w:tcPr>
            <w:tcW w:type="dxa" w:w="1440"/>
          </w:tcPr>
          <w:p>
            <w:pPr>
              <w:jc w:val="center"/>
            </w:pPr>
            <w:r>
              <w:rPr>
                <w:sz w:val="18"/>
              </w:rPr>
              <w:t>0.2428</w:t>
            </w:r>
          </w:p>
        </w:tc>
        <w:tc>
          <w:tcPr>
            <w:tcW w:type="dxa" w:w="1440"/>
          </w:tcPr>
          <w:p>
            <w:pPr>
              <w:jc w:val="center"/>
            </w:pPr>
            <w:r>
              <w:rPr>
                <w:sz w:val="18"/>
              </w:rPr>
              <w:t>0.0879</w:t>
            </w:r>
          </w:p>
        </w:tc>
        <w:tc>
          <w:tcPr>
            <w:tcW w:type="dxa" w:w="1440"/>
          </w:tcPr>
          <w:p>
            <w:pPr>
              <w:jc w:val="center"/>
            </w:pPr>
            <w:r>
              <w:rPr>
                <w:sz w:val="18"/>
              </w:rPr>
              <w:t>N/A</w:t>
            </w:r>
          </w:p>
        </w:tc>
      </w:tr>
      <w:tr>
        <w:tc>
          <w:tcPr>
            <w:tcW w:type="dxa" w:w="1440"/>
          </w:tcPr>
          <w:p>
            <w:pPr>
              <w:jc w:val="center"/>
            </w:pPr>
            <w:r>
              <w:rPr>
                <w:sz w:val="18"/>
              </w:rPr>
              <w:t>Ensemble (Logistic Regression + LightGBM)</w:t>
            </w:r>
          </w:p>
        </w:tc>
        <w:tc>
          <w:tcPr>
            <w:tcW w:type="dxa" w:w="1440"/>
          </w:tcPr>
          <w:p>
            <w:pPr>
              <w:jc w:val="center"/>
            </w:pPr>
            <w:r>
              <w:rPr>
                <w:sz w:val="18"/>
              </w:rPr>
              <w:t>0.6661</w:t>
            </w:r>
          </w:p>
        </w:tc>
        <w:tc>
          <w:tcPr>
            <w:tcW w:type="dxa" w:w="1440"/>
          </w:tcPr>
          <w:p>
            <w:pPr>
              <w:jc w:val="center"/>
            </w:pPr>
            <w:r>
              <w:rPr>
                <w:sz w:val="18"/>
              </w:rPr>
              <w:t>0.3321</w:t>
            </w:r>
          </w:p>
        </w:tc>
        <w:tc>
          <w:tcPr>
            <w:tcW w:type="dxa" w:w="1440"/>
          </w:tcPr>
          <w:p>
            <w:pPr>
              <w:jc w:val="center"/>
            </w:pPr>
            <w:r>
              <w:rPr>
                <w:sz w:val="18"/>
              </w:rPr>
              <w:t>0.2569</w:t>
            </w:r>
          </w:p>
        </w:tc>
        <w:tc>
          <w:tcPr>
            <w:tcW w:type="dxa" w:w="1440"/>
          </w:tcPr>
          <w:p>
            <w:pPr>
              <w:jc w:val="center"/>
            </w:pPr>
            <w:r>
              <w:rPr>
                <w:sz w:val="18"/>
              </w:rPr>
              <w:t>0.0656</w:t>
            </w:r>
          </w:p>
        </w:tc>
        <w:tc>
          <w:tcPr>
            <w:tcW w:type="dxa" w:w="1440"/>
          </w:tcPr>
          <w:p>
            <w:pPr>
              <w:jc w:val="center"/>
            </w:pPr>
            <w:r>
              <w:rPr>
                <w:sz w:val="18"/>
              </w:rPr>
              <w:t>0.1641</w:t>
            </w:r>
          </w:p>
        </w:tc>
      </w:tr>
      <w:tr>
        <w:tc>
          <w:tcPr>
            <w:tcW w:type="dxa" w:w="1440"/>
          </w:tcPr>
          <w:p>
            <w:pPr>
              <w:jc w:val="center"/>
            </w:pPr>
            <w:r>
              <w:rPr>
                <w:sz w:val="18"/>
              </w:rPr>
              <w:t>Logistic Regression</w:t>
            </w:r>
          </w:p>
        </w:tc>
        <w:tc>
          <w:tcPr>
            <w:tcW w:type="dxa" w:w="1440"/>
          </w:tcPr>
          <w:p>
            <w:pPr>
              <w:jc w:val="center"/>
            </w:pPr>
            <w:r>
              <w:rPr>
                <w:sz w:val="18"/>
              </w:rPr>
              <w:t>0.6658</w:t>
            </w:r>
          </w:p>
        </w:tc>
        <w:tc>
          <w:tcPr>
            <w:tcW w:type="dxa" w:w="1440"/>
          </w:tcPr>
          <w:p>
            <w:pPr>
              <w:jc w:val="center"/>
            </w:pPr>
            <w:r>
              <w:rPr>
                <w:sz w:val="18"/>
              </w:rPr>
              <w:t>0.3317</w:t>
            </w:r>
          </w:p>
        </w:tc>
        <w:tc>
          <w:tcPr>
            <w:tcW w:type="dxa" w:w="1440"/>
          </w:tcPr>
          <w:p>
            <w:pPr>
              <w:jc w:val="center"/>
            </w:pPr>
            <w:r>
              <w:rPr>
                <w:sz w:val="18"/>
              </w:rPr>
              <w:t>0.2501</w:t>
            </w:r>
          </w:p>
        </w:tc>
        <w:tc>
          <w:tcPr>
            <w:tcW w:type="dxa" w:w="1440"/>
          </w:tcPr>
          <w:p>
            <w:pPr>
              <w:jc w:val="center"/>
            </w:pPr>
            <w:r>
              <w:rPr>
                <w:sz w:val="18"/>
              </w:rPr>
              <w:t>0.0642</w:t>
            </w:r>
          </w:p>
        </w:tc>
        <w:tc>
          <w:tcPr>
            <w:tcW w:type="dxa" w:w="1440"/>
          </w:tcPr>
          <w:p>
            <w:pPr>
              <w:jc w:val="center"/>
            </w:pPr>
            <w:r>
              <w:rPr>
                <w:sz w:val="18"/>
              </w:rPr>
              <w:t>0.2232</w:t>
            </w:r>
          </w:p>
        </w:tc>
      </w:tr>
      <w:tr>
        <w:tc>
          <w:tcPr>
            <w:tcW w:type="dxa" w:w="1440"/>
          </w:tcPr>
          <w:p>
            <w:pPr>
              <w:jc w:val="center"/>
            </w:pPr>
            <w:r>
              <w:rPr>
                <w:sz w:val="18"/>
              </w:rPr>
              <w:t>LightGBM</w:t>
            </w:r>
          </w:p>
        </w:tc>
        <w:tc>
          <w:tcPr>
            <w:tcW w:type="dxa" w:w="1440"/>
          </w:tcPr>
          <w:p>
            <w:pPr>
              <w:jc w:val="center"/>
            </w:pPr>
            <w:r>
              <w:rPr>
                <w:sz w:val="18"/>
              </w:rPr>
              <w:t>0.6441</w:t>
            </w:r>
          </w:p>
        </w:tc>
        <w:tc>
          <w:tcPr>
            <w:tcW w:type="dxa" w:w="1440"/>
          </w:tcPr>
          <w:p>
            <w:pPr>
              <w:jc w:val="center"/>
            </w:pPr>
            <w:r>
              <w:rPr>
                <w:sz w:val="18"/>
              </w:rPr>
              <w:t>0.2883</w:t>
            </w:r>
          </w:p>
        </w:tc>
        <w:tc>
          <w:tcPr>
            <w:tcW w:type="dxa" w:w="1440"/>
          </w:tcPr>
          <w:p>
            <w:pPr>
              <w:jc w:val="center"/>
            </w:pPr>
            <w:r>
              <w:rPr>
                <w:sz w:val="18"/>
              </w:rPr>
              <w:t>0.2155</w:t>
            </w:r>
          </w:p>
        </w:tc>
        <w:tc>
          <w:tcPr>
            <w:tcW w:type="dxa" w:w="1440"/>
          </w:tcPr>
          <w:p>
            <w:pPr>
              <w:jc w:val="center"/>
            </w:pPr>
            <w:r>
              <w:rPr>
                <w:sz w:val="18"/>
              </w:rPr>
              <w:t>0.0621</w:t>
            </w:r>
          </w:p>
        </w:tc>
        <w:tc>
          <w:tcPr>
            <w:tcW w:type="dxa" w:w="1440"/>
          </w:tcPr>
          <w:p>
            <w:pPr>
              <w:jc w:val="center"/>
            </w:pPr>
            <w:r>
              <w:rPr>
                <w:sz w:val="18"/>
              </w:rPr>
              <w:t>0.1197</w:t>
            </w:r>
          </w:p>
        </w:tc>
      </w:tr>
      <w:tr>
        <w:tc>
          <w:tcPr>
            <w:tcW w:type="dxa" w:w="1440"/>
          </w:tcPr>
          <w:p>
            <w:pPr>
              <w:jc w:val="center"/>
            </w:pPr>
            <w:r>
              <w:rPr>
                <w:sz w:val="18"/>
              </w:rPr>
              <w:t>CatBoost</w:t>
            </w:r>
          </w:p>
        </w:tc>
        <w:tc>
          <w:tcPr>
            <w:tcW w:type="dxa" w:w="1440"/>
          </w:tcPr>
          <w:p>
            <w:pPr>
              <w:jc w:val="center"/>
            </w:pPr>
            <w:r>
              <w:rPr>
                <w:sz w:val="18"/>
              </w:rPr>
              <w:t>0.6385</w:t>
            </w:r>
          </w:p>
        </w:tc>
        <w:tc>
          <w:tcPr>
            <w:tcW w:type="dxa" w:w="1440"/>
          </w:tcPr>
          <w:p>
            <w:pPr>
              <w:jc w:val="center"/>
            </w:pPr>
            <w:r>
              <w:rPr>
                <w:sz w:val="18"/>
              </w:rPr>
              <w:t>0.2770</w:t>
            </w:r>
          </w:p>
        </w:tc>
        <w:tc>
          <w:tcPr>
            <w:tcW w:type="dxa" w:w="1440"/>
          </w:tcPr>
          <w:p>
            <w:pPr>
              <w:jc w:val="center"/>
            </w:pPr>
            <w:r>
              <w:rPr>
                <w:sz w:val="18"/>
              </w:rPr>
              <w:t>0.2001</w:t>
            </w:r>
          </w:p>
        </w:tc>
        <w:tc>
          <w:tcPr>
            <w:tcW w:type="dxa" w:w="1440"/>
          </w:tcPr>
          <w:p>
            <w:pPr>
              <w:jc w:val="center"/>
            </w:pPr>
            <w:r>
              <w:rPr>
                <w:sz w:val="18"/>
              </w:rPr>
              <w:t>0.0621</w:t>
            </w:r>
          </w:p>
        </w:tc>
        <w:tc>
          <w:tcPr>
            <w:tcW w:type="dxa" w:w="1440"/>
          </w:tcPr>
          <w:p>
            <w:pPr>
              <w:jc w:val="center"/>
            </w:pPr>
            <w:r>
              <w:rPr>
                <w:sz w:val="18"/>
              </w:rPr>
              <w:t>0.1733</w:t>
            </w:r>
          </w:p>
        </w:tc>
      </w:tr>
      <w:tr>
        <w:tc>
          <w:tcPr>
            <w:tcW w:type="dxa" w:w="1440"/>
          </w:tcPr>
          <w:p>
            <w:pPr>
              <w:jc w:val="center"/>
            </w:pPr>
            <w:r>
              <w:rPr>
                <w:sz w:val="18"/>
              </w:rPr>
              <w:t>XGBoost</w:t>
            </w:r>
          </w:p>
        </w:tc>
        <w:tc>
          <w:tcPr>
            <w:tcW w:type="dxa" w:w="1440"/>
          </w:tcPr>
          <w:p>
            <w:pPr>
              <w:jc w:val="center"/>
            </w:pPr>
            <w:r>
              <w:rPr>
                <w:sz w:val="18"/>
              </w:rPr>
              <w:t>0.6443</w:t>
            </w:r>
          </w:p>
        </w:tc>
        <w:tc>
          <w:tcPr>
            <w:tcW w:type="dxa" w:w="1440"/>
          </w:tcPr>
          <w:p>
            <w:pPr>
              <w:jc w:val="center"/>
            </w:pPr>
            <w:r>
              <w:rPr>
                <w:sz w:val="18"/>
              </w:rPr>
              <w:t>0.2887</w:t>
            </w:r>
          </w:p>
        </w:tc>
        <w:tc>
          <w:tcPr>
            <w:tcW w:type="dxa" w:w="1440"/>
          </w:tcPr>
          <w:p>
            <w:pPr>
              <w:jc w:val="center"/>
            </w:pPr>
            <w:r>
              <w:rPr>
                <w:sz w:val="18"/>
              </w:rPr>
              <w:t>0.2311</w:t>
            </w:r>
          </w:p>
        </w:tc>
        <w:tc>
          <w:tcPr>
            <w:tcW w:type="dxa" w:w="1440"/>
          </w:tcPr>
          <w:p>
            <w:pPr>
              <w:jc w:val="center"/>
            </w:pPr>
            <w:r>
              <w:rPr>
                <w:sz w:val="18"/>
              </w:rPr>
              <w:t>0.0618</w:t>
            </w:r>
          </w:p>
        </w:tc>
        <w:tc>
          <w:tcPr>
            <w:tcW w:type="dxa" w:w="1440"/>
          </w:tcPr>
          <w:p>
            <w:pPr>
              <w:jc w:val="center"/>
            </w:pPr>
            <w:r>
              <w:rPr>
                <w:sz w:val="18"/>
              </w:rPr>
              <w:t>0.1545</w:t>
            </w:r>
          </w:p>
        </w:tc>
      </w:tr>
      <w:tr>
        <w:tc>
          <w:tcPr>
            <w:tcW w:type="dxa" w:w="1440"/>
          </w:tcPr>
          <w:p>
            <w:pPr>
              <w:jc w:val="center"/>
            </w:pPr>
            <w:r>
              <w:rPr>
                <w:sz w:val="18"/>
              </w:rPr>
              <w:t>score_RF (benchmark)</w:t>
            </w:r>
          </w:p>
        </w:tc>
        <w:tc>
          <w:tcPr>
            <w:tcW w:type="dxa" w:w="1440"/>
          </w:tcPr>
          <w:p>
            <w:pPr>
              <w:jc w:val="center"/>
            </w:pPr>
            <w:r>
              <w:rPr>
                <w:sz w:val="18"/>
              </w:rPr>
              <w:t>0.6185</w:t>
            </w:r>
          </w:p>
        </w:tc>
        <w:tc>
          <w:tcPr>
            <w:tcW w:type="dxa" w:w="1440"/>
          </w:tcPr>
          <w:p>
            <w:pPr>
              <w:jc w:val="center"/>
            </w:pPr>
            <w:r>
              <w:rPr>
                <w:sz w:val="18"/>
              </w:rPr>
              <w:t>0.2371</w:t>
            </w:r>
          </w:p>
        </w:tc>
        <w:tc>
          <w:tcPr>
            <w:tcW w:type="dxa" w:w="1440"/>
          </w:tcPr>
          <w:p>
            <w:pPr>
              <w:jc w:val="center"/>
            </w:pPr>
            <w:r>
              <w:rPr>
                <w:sz w:val="18"/>
              </w:rPr>
              <w:t>0.1842</w:t>
            </w:r>
          </w:p>
        </w:tc>
        <w:tc>
          <w:tcPr>
            <w:tcW w:type="dxa" w:w="1440"/>
          </w:tcPr>
          <w:p>
            <w:pPr>
              <w:jc w:val="center"/>
            </w:pPr>
            <w:r>
              <w:rPr>
                <w:sz w:val="18"/>
              </w:rPr>
              <w:t>0.0538</w:t>
            </w:r>
          </w:p>
        </w:tc>
        <w:tc>
          <w:tcPr>
            <w:tcW w:type="dxa" w:w="1440"/>
          </w:tcPr>
          <w:p>
            <w:pPr>
              <w:jc w:val="center"/>
            </w:pPr>
            <w:r>
              <w:rPr>
                <w:sz w:val="18"/>
              </w:rPr>
              <w:t>N/A</w:t>
            </w:r>
          </w:p>
        </w:tc>
      </w:tr>
    </w:tbl>
    <w:p/>
    <w:p>
      <w:pPr>
        <w:jc w:val="center"/>
      </w:pPr>
      <w:r>
        <w:drawing>
          <wp:inline xmlns:a="http://schemas.openxmlformats.org/drawingml/2006/main" xmlns:pic="http://schemas.openxmlformats.org/drawingml/2006/picture">
            <wp:extent cx="5029200" cy="2758447"/>
            <wp:docPr id="1" name="Picture 1"/>
            <wp:cNvGraphicFramePr>
              <a:graphicFrameLocks noChangeAspect="1"/>
            </wp:cNvGraphicFramePr>
            <a:graphic>
              <a:graphicData uri="http://schemas.openxmlformats.org/drawingml/2006/picture">
                <pic:pic>
                  <pic:nvPicPr>
                    <pic:cNvPr id="0" name="stakeholder_holdout_benchmarks.png"/>
                    <pic:cNvPicPr/>
                  </pic:nvPicPr>
                  <pic:blipFill>
                    <a:blip r:embed="rId9"/>
                    <a:stretch>
                      <a:fillRect/>
                    </a:stretch>
                  </pic:blipFill>
                  <pic:spPr>
                    <a:xfrm>
                      <a:off x="0" y="0"/>
                      <a:ext cx="5029200" cy="2758447"/>
                    </a:xfrm>
                    <a:prstGeom prst="rect"/>
                  </pic:spPr>
                </pic:pic>
              </a:graphicData>
            </a:graphic>
          </wp:inline>
        </w:drawing>
      </w:r>
    </w:p>
    <w:p/>
    <w:p>
      <w:r>
        <w:t>Logistic Regression and the post-hoc ensemble (55% LR + 45% LightGBM) lead on ROC AUC, while risk_score_rf retains the highest PR AUC. The tree models cluster below Logistic Regression on both metrics despite having far more expressive architectures, which is a direct consequence of their overfitting to the training data.</w:t>
      </w:r>
    </w:p>
    <w:p>
      <w:pPr>
        <w:pStyle w:val="Heading2"/>
      </w:pPr>
      <w:r>
        <w:t>4.2 Model Selection Scorecard</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4E79"/>
          </w:tcPr>
          <w:p>
            <w:pPr>
              <w:jc w:val="center"/>
            </w:pPr>
            <w:r>
              <w:rPr>
                <w:b/>
                <w:color w:val="FFFFFF"/>
                <w:sz w:val="18"/>
              </w:rPr>
              <w:t>Model</w:t>
            </w:r>
          </w:p>
        </w:tc>
        <w:tc>
          <w:tcPr>
            <w:tcW w:type="dxa" w:w="1080"/>
            <w:shd w:val="clear" w:color="auto" w:fill="1F4E79"/>
          </w:tcPr>
          <w:p>
            <w:pPr>
              <w:jc w:val="center"/>
            </w:pPr>
            <w:r>
              <w:rPr>
                <w:b/>
                <w:color w:val="FFFFFF"/>
                <w:sz w:val="18"/>
              </w:rPr>
              <w:t>Disc.</w:t>
            </w:r>
          </w:p>
        </w:tc>
        <w:tc>
          <w:tcPr>
            <w:tcW w:type="dxa" w:w="1080"/>
            <w:shd w:val="clear" w:color="auto" w:fill="1F4E79"/>
          </w:tcPr>
          <w:p>
            <w:pPr>
              <w:jc w:val="center"/>
            </w:pPr>
            <w:r>
              <w:rPr>
                <w:b/>
                <w:color w:val="FFFFFF"/>
                <w:sz w:val="18"/>
              </w:rPr>
              <w:t>Calib.</w:t>
            </w:r>
          </w:p>
        </w:tc>
        <w:tc>
          <w:tcPr>
            <w:tcW w:type="dxa" w:w="1080"/>
            <w:shd w:val="clear" w:color="auto" w:fill="1F4E79"/>
          </w:tcPr>
          <w:p>
            <w:pPr>
              <w:jc w:val="center"/>
            </w:pPr>
            <w:r>
              <w:rPr>
                <w:b/>
                <w:color w:val="FFFFFF"/>
                <w:sz w:val="18"/>
              </w:rPr>
              <w:t>Stab.</w:t>
            </w:r>
          </w:p>
        </w:tc>
        <w:tc>
          <w:tcPr>
            <w:tcW w:type="dxa" w:w="1080"/>
            <w:shd w:val="clear" w:color="auto" w:fill="1F4E79"/>
          </w:tcPr>
          <w:p>
            <w:pPr>
              <w:jc w:val="center"/>
            </w:pPr>
            <w:r>
              <w:rPr>
                <w:b/>
                <w:color w:val="FFFFFF"/>
                <w:sz w:val="18"/>
              </w:rPr>
              <w:t>Gen.</w:t>
            </w:r>
          </w:p>
        </w:tc>
        <w:tc>
          <w:tcPr>
            <w:tcW w:type="dxa" w:w="1080"/>
            <w:shd w:val="clear" w:color="auto" w:fill="1F4E79"/>
          </w:tcPr>
          <w:p>
            <w:pPr>
              <w:jc w:val="center"/>
            </w:pPr>
            <w:r>
              <w:rPr>
                <w:b/>
                <w:color w:val="FFFFFF"/>
                <w:sz w:val="18"/>
              </w:rPr>
              <w:t>Lift</w:t>
            </w:r>
          </w:p>
        </w:tc>
        <w:tc>
          <w:tcPr>
            <w:tcW w:type="dxa" w:w="1080"/>
            <w:shd w:val="clear" w:color="auto" w:fill="1F4E79"/>
          </w:tcPr>
          <w:p>
            <w:pPr>
              <w:jc w:val="center"/>
            </w:pPr>
            <w:r>
              <w:rPr>
                <w:b/>
                <w:color w:val="FFFFFF"/>
                <w:sz w:val="18"/>
              </w:rPr>
              <w:t>Overall</w:t>
            </w:r>
          </w:p>
        </w:tc>
        <w:tc>
          <w:tcPr>
            <w:tcW w:type="dxa" w:w="1080"/>
            <w:shd w:val="clear" w:color="auto" w:fill="1F4E79"/>
          </w:tcPr>
          <w:p>
            <w:pPr>
              <w:jc w:val="center"/>
            </w:pPr>
            <w:r>
              <w:rPr>
                <w:b/>
                <w:color w:val="FFFFFF"/>
                <w:sz w:val="18"/>
              </w:rPr>
              <w:t>Rec.</w:t>
            </w:r>
          </w:p>
        </w:tc>
      </w:tr>
      <w:tr>
        <w:tc>
          <w:tcPr>
            <w:tcW w:type="dxa" w:w="1080"/>
          </w:tcPr>
          <w:p>
            <w:pPr>
              <w:jc w:val="center"/>
            </w:pPr>
            <w:r>
              <w:rPr>
                <w:sz w:val="18"/>
              </w:rPr>
              <w:t>Logistic Regression</w:t>
            </w:r>
          </w:p>
        </w:tc>
        <w:tc>
          <w:tcPr>
            <w:tcW w:type="dxa" w:w="1080"/>
          </w:tcPr>
          <w:p>
            <w:pPr>
              <w:jc w:val="center"/>
            </w:pPr>
            <w:r>
              <w:rPr>
                <w:sz w:val="18"/>
              </w:rPr>
              <w:t>100.0</w:t>
            </w:r>
          </w:p>
        </w:tc>
        <w:tc>
          <w:tcPr>
            <w:tcW w:type="dxa" w:w="1080"/>
          </w:tcPr>
          <w:p>
            <w:pPr>
              <w:jc w:val="center"/>
            </w:pPr>
            <w:r>
              <w:rPr>
                <w:sz w:val="18"/>
              </w:rPr>
              <w:t>100.0</w:t>
            </w:r>
          </w:p>
        </w:tc>
        <w:tc>
          <w:tcPr>
            <w:tcW w:type="dxa" w:w="1080"/>
          </w:tcPr>
          <w:p>
            <w:pPr>
              <w:jc w:val="center"/>
            </w:pPr>
            <w:r>
              <w:rPr>
                <w:sz w:val="18"/>
              </w:rPr>
              <w:t>0.0</w:t>
            </w:r>
          </w:p>
        </w:tc>
        <w:tc>
          <w:tcPr>
            <w:tcW w:type="dxa" w:w="1080"/>
          </w:tcPr>
          <w:p>
            <w:pPr>
              <w:jc w:val="center"/>
            </w:pPr>
            <w:r>
              <w:rPr>
                <w:sz w:val="18"/>
              </w:rPr>
              <w:t>72.1</w:t>
            </w:r>
          </w:p>
        </w:tc>
        <w:tc>
          <w:tcPr>
            <w:tcW w:type="dxa" w:w="1080"/>
          </w:tcPr>
          <w:p>
            <w:pPr>
              <w:jc w:val="center"/>
            </w:pPr>
            <w:r>
              <w:rPr>
                <w:sz w:val="18"/>
              </w:rPr>
              <w:t>100.0</w:t>
            </w:r>
          </w:p>
        </w:tc>
        <w:tc>
          <w:tcPr>
            <w:tcW w:type="dxa" w:w="1080"/>
          </w:tcPr>
          <w:p>
            <w:pPr>
              <w:jc w:val="center"/>
            </w:pPr>
            <w:r>
              <w:rPr>
                <w:sz w:val="18"/>
              </w:rPr>
              <w:t>75.8</w:t>
            </w:r>
          </w:p>
        </w:tc>
        <w:tc>
          <w:tcPr>
            <w:tcW w:type="dxa" w:w="1080"/>
          </w:tcPr>
          <w:p>
            <w:pPr>
              <w:jc w:val="center"/>
            </w:pPr>
            <w:r>
              <w:rPr>
                <w:sz w:val="18"/>
              </w:rPr>
              <w:t>Yes</w:t>
            </w:r>
          </w:p>
        </w:tc>
      </w:tr>
      <w:tr>
        <w:tc>
          <w:tcPr>
            <w:tcW w:type="dxa" w:w="1080"/>
          </w:tcPr>
          <w:p>
            <w:pPr>
              <w:jc w:val="center"/>
            </w:pPr>
            <w:r>
              <w:rPr>
                <w:sz w:val="18"/>
              </w:rPr>
              <w:t>LightGBM</w:t>
            </w:r>
          </w:p>
        </w:tc>
        <w:tc>
          <w:tcPr>
            <w:tcW w:type="dxa" w:w="1080"/>
          </w:tcPr>
          <w:p>
            <w:pPr>
              <w:jc w:val="center"/>
            </w:pPr>
            <w:r>
              <w:rPr>
                <w:sz w:val="18"/>
              </w:rPr>
              <w:t>14.2</w:t>
            </w:r>
          </w:p>
        </w:tc>
        <w:tc>
          <w:tcPr>
            <w:tcW w:type="dxa" w:w="1080"/>
          </w:tcPr>
          <w:p>
            <w:pPr>
              <w:jc w:val="center"/>
            </w:pPr>
            <w:r>
              <w:rPr>
                <w:sz w:val="18"/>
              </w:rPr>
              <w:t>64.6</w:t>
            </w:r>
          </w:p>
        </w:tc>
        <w:tc>
          <w:tcPr>
            <w:tcW w:type="dxa" w:w="1080"/>
          </w:tcPr>
          <w:p>
            <w:pPr>
              <w:jc w:val="center"/>
            </w:pPr>
            <w:r>
              <w:rPr>
                <w:sz w:val="18"/>
              </w:rPr>
              <w:t>100.0</w:t>
            </w:r>
          </w:p>
        </w:tc>
        <w:tc>
          <w:tcPr>
            <w:tcW w:type="dxa" w:w="1080"/>
          </w:tcPr>
          <w:p>
            <w:pPr>
              <w:jc w:val="center"/>
            </w:pPr>
            <w:r>
              <w:rPr>
                <w:sz w:val="18"/>
              </w:rPr>
              <w:t>0.0</w:t>
            </w:r>
          </w:p>
        </w:tc>
        <w:tc>
          <w:tcPr>
            <w:tcW w:type="dxa" w:w="1080"/>
          </w:tcPr>
          <w:p>
            <w:pPr>
              <w:jc w:val="center"/>
            </w:pPr>
            <w:r>
              <w:rPr>
                <w:sz w:val="18"/>
              </w:rPr>
              <w:t>69.0</w:t>
            </w:r>
          </w:p>
        </w:tc>
        <w:tc>
          <w:tcPr>
            <w:tcW w:type="dxa" w:w="1080"/>
          </w:tcPr>
          <w:p>
            <w:pPr>
              <w:jc w:val="center"/>
            </w:pPr>
            <w:r>
              <w:rPr>
                <w:sz w:val="18"/>
              </w:rPr>
              <w:t>45.0</w:t>
            </w:r>
          </w:p>
        </w:tc>
        <w:tc>
          <w:tcPr>
            <w:tcW w:type="dxa" w:w="1080"/>
          </w:tcPr>
          <w:p>
            <w:pPr>
              <w:jc w:val="center"/>
            </w:pPr>
            <w:r>
              <w:rPr>
                <w:sz w:val="18"/>
              </w:rPr>
            </w:r>
          </w:p>
        </w:tc>
      </w:tr>
      <w:tr>
        <w:tc>
          <w:tcPr>
            <w:tcW w:type="dxa" w:w="1080"/>
          </w:tcPr>
          <w:p>
            <w:pPr>
              <w:jc w:val="center"/>
            </w:pPr>
            <w:r>
              <w:rPr>
                <w:sz w:val="18"/>
              </w:rPr>
              <w:t>XGBoost</w:t>
            </w:r>
          </w:p>
        </w:tc>
        <w:tc>
          <w:tcPr>
            <w:tcW w:type="dxa" w:w="1080"/>
          </w:tcPr>
          <w:p>
            <w:pPr>
              <w:jc w:val="center"/>
            </w:pPr>
            <w:r>
              <w:rPr>
                <w:sz w:val="18"/>
              </w:rPr>
              <w:t>0.0</w:t>
            </w:r>
          </w:p>
        </w:tc>
        <w:tc>
          <w:tcPr>
            <w:tcW w:type="dxa" w:w="1080"/>
          </w:tcPr>
          <w:p>
            <w:pPr>
              <w:jc w:val="center"/>
            </w:pPr>
            <w:r>
              <w:rPr>
                <w:sz w:val="18"/>
              </w:rPr>
              <w:t>51.4</w:t>
            </w:r>
          </w:p>
        </w:tc>
        <w:tc>
          <w:tcPr>
            <w:tcW w:type="dxa" w:w="1080"/>
          </w:tcPr>
          <w:p>
            <w:pPr>
              <w:jc w:val="center"/>
            </w:pPr>
            <w:r>
              <w:rPr>
                <w:sz w:val="18"/>
              </w:rPr>
              <w:t>50.2</w:t>
            </w:r>
          </w:p>
        </w:tc>
        <w:tc>
          <w:tcPr>
            <w:tcW w:type="dxa" w:w="1080"/>
          </w:tcPr>
          <w:p>
            <w:pPr>
              <w:jc w:val="center"/>
            </w:pPr>
            <w:r>
              <w:rPr>
                <w:sz w:val="18"/>
              </w:rPr>
              <w:t>0.0</w:t>
            </w:r>
          </w:p>
        </w:tc>
        <w:tc>
          <w:tcPr>
            <w:tcW w:type="dxa" w:w="1080"/>
          </w:tcPr>
          <w:p>
            <w:pPr>
              <w:jc w:val="center"/>
            </w:pPr>
            <w:r>
              <w:rPr>
                <w:sz w:val="18"/>
              </w:rPr>
              <w:t>69.3</w:t>
            </w:r>
          </w:p>
        </w:tc>
        <w:tc>
          <w:tcPr>
            <w:tcW w:type="dxa" w:w="1080"/>
          </w:tcPr>
          <w:p>
            <w:pPr>
              <w:jc w:val="center"/>
            </w:pPr>
            <w:r>
              <w:rPr>
                <w:sz w:val="18"/>
              </w:rPr>
              <w:t>28.2</w:t>
            </w:r>
          </w:p>
        </w:tc>
        <w:tc>
          <w:tcPr>
            <w:tcW w:type="dxa" w:w="1080"/>
          </w:tcPr>
          <w:p>
            <w:pPr>
              <w:jc w:val="center"/>
            </w:pPr>
            <w:r>
              <w:rPr>
                <w:sz w:val="18"/>
              </w:rPr>
            </w:r>
          </w:p>
        </w:tc>
      </w:tr>
      <w:tr>
        <w:tc>
          <w:tcPr>
            <w:tcW w:type="dxa" w:w="1080"/>
          </w:tcPr>
          <w:p>
            <w:pPr>
              <w:jc w:val="center"/>
            </w:pPr>
            <w:r>
              <w:rPr>
                <w:sz w:val="18"/>
              </w:rPr>
              <w:t>CatBoost</w:t>
            </w:r>
          </w:p>
        </w:tc>
        <w:tc>
          <w:tcPr>
            <w:tcW w:type="dxa" w:w="1080"/>
          </w:tcPr>
          <w:p>
            <w:pPr>
              <w:jc w:val="center"/>
            </w:pPr>
            <w:r>
              <w:rPr>
                <w:sz w:val="18"/>
              </w:rPr>
              <w:t>11.9</w:t>
            </w:r>
          </w:p>
        </w:tc>
        <w:tc>
          <w:tcPr>
            <w:tcW w:type="dxa" w:w="1080"/>
          </w:tcPr>
          <w:p>
            <w:pPr>
              <w:jc w:val="center"/>
            </w:pPr>
            <w:r>
              <w:rPr>
                <w:sz w:val="18"/>
              </w:rPr>
              <w:t>0.0</w:t>
            </w:r>
          </w:p>
        </w:tc>
        <w:tc>
          <w:tcPr>
            <w:tcW w:type="dxa" w:w="1080"/>
          </w:tcPr>
          <w:p>
            <w:pPr>
              <w:jc w:val="center"/>
            </w:pPr>
            <w:r>
              <w:rPr>
                <w:sz w:val="18"/>
              </w:rPr>
              <w:t>67.1</w:t>
            </w:r>
          </w:p>
        </w:tc>
        <w:tc>
          <w:tcPr>
            <w:tcW w:type="dxa" w:w="1080"/>
          </w:tcPr>
          <w:p>
            <w:pPr>
              <w:jc w:val="center"/>
            </w:pPr>
            <w:r>
              <w:rPr>
                <w:sz w:val="18"/>
              </w:rPr>
              <w:t>0.0</w:t>
            </w:r>
          </w:p>
        </w:tc>
        <w:tc>
          <w:tcPr>
            <w:tcW w:type="dxa" w:w="1080"/>
          </w:tcPr>
          <w:p>
            <w:pPr>
              <w:jc w:val="center"/>
            </w:pPr>
            <w:r>
              <w:rPr>
                <w:sz w:val="18"/>
              </w:rPr>
              <w:t>61.0</w:t>
            </w:r>
          </w:p>
        </w:tc>
        <w:tc>
          <w:tcPr>
            <w:tcW w:type="dxa" w:w="1080"/>
          </w:tcPr>
          <w:p>
            <w:pPr>
              <w:jc w:val="center"/>
            </w:pPr>
            <w:r>
              <w:rPr>
                <w:sz w:val="18"/>
              </w:rPr>
              <w:t>26.7</w:t>
            </w:r>
          </w:p>
        </w:tc>
        <w:tc>
          <w:tcPr>
            <w:tcW w:type="dxa" w:w="1080"/>
          </w:tcPr>
          <w:p>
            <w:pPr>
              <w:jc w:val="center"/>
            </w:pPr>
            <w:r>
              <w:rPr>
                <w:sz w:val="18"/>
              </w:rPr>
            </w:r>
          </w:p>
        </w:tc>
      </w:tr>
    </w:tbl>
    <w:p/>
    <w:p>
      <w:r>
        <w:t>Logistic Regression achieves the highest weighted score (75.8/100) by combining the best discrimination, the best benchmark lift, and the cleanest generalization profile. Tree models score well on calibration (isotonic calibration helps their Brier scores) and stability, but are heavily penalized on generalization due to their extreme train-test gaps.</w:t>
      </w:r>
    </w:p>
    <w:p>
      <w:pPr>
        <w:pStyle w:val="Heading2"/>
      </w:pPr>
      <w:r>
        <w:t>4.3 Overfitting Analysis</w:t>
      </w:r>
    </w:p>
    <w:p>
      <w:r>
        <w:t>The overfitting report compares each model's metrics on the training data versus the held-out test. A train-test delta above 0.03 on AUC or PR AUC triggers a flag. This analysis explains why tree models, despite having access to more expressive hypothesis spaces, underperform the linear model on held-out data.</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4E79"/>
          </w:tcPr>
          <w:p>
            <w:pPr>
              <w:jc w:val="center"/>
            </w:pPr>
            <w:r>
              <w:rPr>
                <w:b/>
                <w:color w:val="FFFFFF"/>
                <w:sz w:val="18"/>
              </w:rPr>
              <w:t>Model</w:t>
            </w:r>
          </w:p>
        </w:tc>
        <w:tc>
          <w:tcPr>
            <w:tcW w:type="dxa" w:w="1080"/>
            <w:shd w:val="clear" w:color="auto" w:fill="1F4E79"/>
          </w:tcPr>
          <w:p>
            <w:pPr>
              <w:jc w:val="center"/>
            </w:pPr>
            <w:r>
              <w:rPr>
                <w:b/>
                <w:color w:val="FFFFFF"/>
                <w:sz w:val="18"/>
              </w:rPr>
              <w:t>Train AUC</w:t>
            </w:r>
          </w:p>
        </w:tc>
        <w:tc>
          <w:tcPr>
            <w:tcW w:type="dxa" w:w="1080"/>
            <w:shd w:val="clear" w:color="auto" w:fill="1F4E79"/>
          </w:tcPr>
          <w:p>
            <w:pPr>
              <w:jc w:val="center"/>
            </w:pPr>
            <w:r>
              <w:rPr>
                <w:b/>
                <w:color w:val="FFFFFF"/>
                <w:sz w:val="18"/>
              </w:rPr>
              <w:t>Test AUC</w:t>
            </w:r>
          </w:p>
        </w:tc>
        <w:tc>
          <w:tcPr>
            <w:tcW w:type="dxa" w:w="1080"/>
            <w:shd w:val="clear" w:color="auto" w:fill="1F4E79"/>
          </w:tcPr>
          <w:p>
            <w:pPr>
              <w:jc w:val="center"/>
            </w:pPr>
            <w:r>
              <w:rPr>
                <w:b/>
                <w:color w:val="FFFFFF"/>
                <w:sz w:val="18"/>
              </w:rPr>
              <w:t>Delta</w:t>
            </w:r>
          </w:p>
        </w:tc>
        <w:tc>
          <w:tcPr>
            <w:tcW w:type="dxa" w:w="1080"/>
            <w:shd w:val="clear" w:color="auto" w:fill="1F4E79"/>
          </w:tcPr>
          <w:p>
            <w:pPr>
              <w:jc w:val="center"/>
            </w:pPr>
            <w:r>
              <w:rPr>
                <w:b/>
                <w:color w:val="FFFFFF"/>
                <w:sz w:val="18"/>
              </w:rPr>
              <w:t>Train PR</w:t>
            </w:r>
          </w:p>
        </w:tc>
        <w:tc>
          <w:tcPr>
            <w:tcW w:type="dxa" w:w="1080"/>
            <w:shd w:val="clear" w:color="auto" w:fill="1F4E79"/>
          </w:tcPr>
          <w:p>
            <w:pPr>
              <w:jc w:val="center"/>
            </w:pPr>
            <w:r>
              <w:rPr>
                <w:b/>
                <w:color w:val="FFFFFF"/>
                <w:sz w:val="18"/>
              </w:rPr>
              <w:t>Test PR</w:t>
            </w:r>
          </w:p>
        </w:tc>
        <w:tc>
          <w:tcPr>
            <w:tcW w:type="dxa" w:w="1080"/>
            <w:shd w:val="clear" w:color="auto" w:fill="1F4E79"/>
          </w:tcPr>
          <w:p>
            <w:pPr>
              <w:jc w:val="center"/>
            </w:pPr>
            <w:r>
              <w:rPr>
                <w:b/>
                <w:color w:val="FFFFFF"/>
                <w:sz w:val="18"/>
              </w:rPr>
              <w:t>PR Delta</w:t>
            </w:r>
          </w:p>
        </w:tc>
        <w:tc>
          <w:tcPr>
            <w:tcW w:type="dxa" w:w="1080"/>
            <w:shd w:val="clear" w:color="auto" w:fill="1F4E79"/>
          </w:tcPr>
          <w:p>
            <w:pPr>
              <w:jc w:val="center"/>
            </w:pPr>
            <w:r>
              <w:rPr>
                <w:b/>
                <w:color w:val="FFFFFF"/>
                <w:sz w:val="18"/>
              </w:rPr>
              <w:t>Flag</w:t>
            </w:r>
          </w:p>
        </w:tc>
      </w:tr>
      <w:tr>
        <w:tc>
          <w:tcPr>
            <w:tcW w:type="dxa" w:w="1080"/>
          </w:tcPr>
          <w:p>
            <w:pPr>
              <w:jc w:val="center"/>
            </w:pPr>
            <w:r>
              <w:rPr>
                <w:sz w:val="18"/>
              </w:rPr>
              <w:t>Logistic Regression</w:t>
            </w:r>
          </w:p>
        </w:tc>
        <w:tc>
          <w:tcPr>
            <w:tcW w:type="dxa" w:w="1080"/>
          </w:tcPr>
          <w:p>
            <w:pPr>
              <w:jc w:val="center"/>
            </w:pPr>
            <w:r>
              <w:rPr>
                <w:sz w:val="18"/>
              </w:rPr>
              <w:t>0.7010</w:t>
            </w:r>
          </w:p>
        </w:tc>
        <w:tc>
          <w:tcPr>
            <w:tcW w:type="dxa" w:w="1080"/>
          </w:tcPr>
          <w:p>
            <w:pPr>
              <w:jc w:val="center"/>
            </w:pPr>
            <w:r>
              <w:rPr>
                <w:sz w:val="18"/>
              </w:rPr>
              <w:t>0.6658</w:t>
            </w:r>
          </w:p>
        </w:tc>
        <w:tc>
          <w:tcPr>
            <w:tcW w:type="dxa" w:w="1080"/>
          </w:tcPr>
          <w:p>
            <w:pPr>
              <w:jc w:val="center"/>
            </w:pPr>
            <w:r>
              <w:rPr>
                <w:sz w:val="18"/>
              </w:rPr>
              <w:t>+0.0351</w:t>
            </w:r>
          </w:p>
        </w:tc>
        <w:tc>
          <w:tcPr>
            <w:tcW w:type="dxa" w:w="1080"/>
          </w:tcPr>
          <w:p>
            <w:pPr>
              <w:jc w:val="center"/>
            </w:pPr>
            <w:r>
              <w:rPr>
                <w:sz w:val="18"/>
              </w:rPr>
              <w:t>0.0720</w:t>
            </w:r>
          </w:p>
        </w:tc>
        <w:tc>
          <w:tcPr>
            <w:tcW w:type="dxa" w:w="1080"/>
          </w:tcPr>
          <w:p>
            <w:pPr>
              <w:jc w:val="center"/>
            </w:pPr>
            <w:r>
              <w:rPr>
                <w:sz w:val="18"/>
              </w:rPr>
              <w:t>0.0642</w:t>
            </w:r>
          </w:p>
        </w:tc>
        <w:tc>
          <w:tcPr>
            <w:tcW w:type="dxa" w:w="1080"/>
          </w:tcPr>
          <w:p>
            <w:pPr>
              <w:jc w:val="center"/>
            </w:pPr>
            <w:r>
              <w:rPr>
                <w:sz w:val="18"/>
              </w:rPr>
              <w:t>+0.0078</w:t>
            </w:r>
          </w:p>
        </w:tc>
        <w:tc>
          <w:tcPr>
            <w:tcW w:type="dxa" w:w="1080"/>
          </w:tcPr>
          <w:p>
            <w:pPr>
              <w:jc w:val="center"/>
            </w:pPr>
            <w:r>
              <w:rPr>
                <w:sz w:val="18"/>
              </w:rPr>
              <w:t>YES</w:t>
            </w:r>
          </w:p>
        </w:tc>
      </w:tr>
      <w:tr>
        <w:tc>
          <w:tcPr>
            <w:tcW w:type="dxa" w:w="1080"/>
          </w:tcPr>
          <w:p>
            <w:pPr>
              <w:jc w:val="center"/>
            </w:pPr>
            <w:r>
              <w:rPr>
                <w:sz w:val="18"/>
              </w:rPr>
              <w:t>LightGBM</w:t>
            </w:r>
          </w:p>
        </w:tc>
        <w:tc>
          <w:tcPr>
            <w:tcW w:type="dxa" w:w="1080"/>
          </w:tcPr>
          <w:p>
            <w:pPr>
              <w:jc w:val="center"/>
            </w:pPr>
            <w:r>
              <w:rPr>
                <w:sz w:val="18"/>
              </w:rPr>
              <w:t>0.9766</w:t>
            </w:r>
          </w:p>
        </w:tc>
        <w:tc>
          <w:tcPr>
            <w:tcW w:type="dxa" w:w="1080"/>
          </w:tcPr>
          <w:p>
            <w:pPr>
              <w:jc w:val="center"/>
            </w:pPr>
            <w:r>
              <w:rPr>
                <w:sz w:val="18"/>
              </w:rPr>
              <w:t>0.6441</w:t>
            </w:r>
          </w:p>
        </w:tc>
        <w:tc>
          <w:tcPr>
            <w:tcW w:type="dxa" w:w="1080"/>
          </w:tcPr>
          <w:p>
            <w:pPr>
              <w:jc w:val="center"/>
            </w:pPr>
            <w:r>
              <w:rPr>
                <w:sz w:val="18"/>
              </w:rPr>
              <w:t>+0.3325</w:t>
            </w:r>
          </w:p>
        </w:tc>
        <w:tc>
          <w:tcPr>
            <w:tcW w:type="dxa" w:w="1080"/>
          </w:tcPr>
          <w:p>
            <w:pPr>
              <w:jc w:val="center"/>
            </w:pPr>
            <w:r>
              <w:rPr>
                <w:sz w:val="18"/>
              </w:rPr>
              <w:t>0.5841</w:t>
            </w:r>
          </w:p>
        </w:tc>
        <w:tc>
          <w:tcPr>
            <w:tcW w:type="dxa" w:w="1080"/>
          </w:tcPr>
          <w:p>
            <w:pPr>
              <w:jc w:val="center"/>
            </w:pPr>
            <w:r>
              <w:rPr>
                <w:sz w:val="18"/>
              </w:rPr>
              <w:t>0.0621</w:t>
            </w:r>
          </w:p>
        </w:tc>
        <w:tc>
          <w:tcPr>
            <w:tcW w:type="dxa" w:w="1080"/>
          </w:tcPr>
          <w:p>
            <w:pPr>
              <w:jc w:val="center"/>
            </w:pPr>
            <w:r>
              <w:rPr>
                <w:sz w:val="18"/>
              </w:rPr>
              <w:t>+0.5219</w:t>
            </w:r>
          </w:p>
        </w:tc>
        <w:tc>
          <w:tcPr>
            <w:tcW w:type="dxa" w:w="1080"/>
          </w:tcPr>
          <w:p>
            <w:pPr>
              <w:jc w:val="center"/>
            </w:pPr>
            <w:r>
              <w:rPr>
                <w:sz w:val="18"/>
              </w:rPr>
              <w:t>YES</w:t>
            </w:r>
          </w:p>
        </w:tc>
      </w:tr>
      <w:tr>
        <w:tc>
          <w:tcPr>
            <w:tcW w:type="dxa" w:w="1080"/>
          </w:tcPr>
          <w:p>
            <w:pPr>
              <w:jc w:val="center"/>
            </w:pPr>
            <w:r>
              <w:rPr>
                <w:sz w:val="18"/>
              </w:rPr>
              <w:t>XGBoost</w:t>
            </w:r>
          </w:p>
        </w:tc>
        <w:tc>
          <w:tcPr>
            <w:tcW w:type="dxa" w:w="1080"/>
          </w:tcPr>
          <w:p>
            <w:pPr>
              <w:jc w:val="center"/>
            </w:pPr>
            <w:r>
              <w:rPr>
                <w:sz w:val="18"/>
              </w:rPr>
              <w:t>0.9061</w:t>
            </w:r>
          </w:p>
        </w:tc>
        <w:tc>
          <w:tcPr>
            <w:tcW w:type="dxa" w:w="1080"/>
          </w:tcPr>
          <w:p>
            <w:pPr>
              <w:jc w:val="center"/>
            </w:pPr>
            <w:r>
              <w:rPr>
                <w:sz w:val="18"/>
              </w:rPr>
              <w:t>0.6443</w:t>
            </w:r>
          </w:p>
        </w:tc>
        <w:tc>
          <w:tcPr>
            <w:tcW w:type="dxa" w:w="1080"/>
          </w:tcPr>
          <w:p>
            <w:pPr>
              <w:jc w:val="center"/>
            </w:pPr>
            <w:r>
              <w:rPr>
                <w:sz w:val="18"/>
              </w:rPr>
              <w:t>+0.2618</w:t>
            </w:r>
          </w:p>
        </w:tc>
        <w:tc>
          <w:tcPr>
            <w:tcW w:type="dxa" w:w="1080"/>
          </w:tcPr>
          <w:p>
            <w:pPr>
              <w:jc w:val="center"/>
            </w:pPr>
            <w:r>
              <w:rPr>
                <w:sz w:val="18"/>
              </w:rPr>
              <w:t>0.2679</w:t>
            </w:r>
          </w:p>
        </w:tc>
        <w:tc>
          <w:tcPr>
            <w:tcW w:type="dxa" w:w="1080"/>
          </w:tcPr>
          <w:p>
            <w:pPr>
              <w:jc w:val="center"/>
            </w:pPr>
            <w:r>
              <w:rPr>
                <w:sz w:val="18"/>
              </w:rPr>
              <w:t>0.0618</w:t>
            </w:r>
          </w:p>
        </w:tc>
        <w:tc>
          <w:tcPr>
            <w:tcW w:type="dxa" w:w="1080"/>
          </w:tcPr>
          <w:p>
            <w:pPr>
              <w:jc w:val="center"/>
            </w:pPr>
            <w:r>
              <w:rPr>
                <w:sz w:val="18"/>
              </w:rPr>
              <w:t>+0.2062</w:t>
            </w:r>
          </w:p>
        </w:tc>
        <w:tc>
          <w:tcPr>
            <w:tcW w:type="dxa" w:w="1080"/>
          </w:tcPr>
          <w:p>
            <w:pPr>
              <w:jc w:val="center"/>
            </w:pPr>
            <w:r>
              <w:rPr>
                <w:sz w:val="18"/>
              </w:rPr>
              <w:t>YES</w:t>
            </w:r>
          </w:p>
        </w:tc>
      </w:tr>
      <w:tr>
        <w:tc>
          <w:tcPr>
            <w:tcW w:type="dxa" w:w="1080"/>
          </w:tcPr>
          <w:p>
            <w:pPr>
              <w:jc w:val="center"/>
            </w:pPr>
            <w:r>
              <w:rPr>
                <w:sz w:val="18"/>
              </w:rPr>
              <w:t>CatBoost</w:t>
            </w:r>
          </w:p>
        </w:tc>
        <w:tc>
          <w:tcPr>
            <w:tcW w:type="dxa" w:w="1080"/>
          </w:tcPr>
          <w:p>
            <w:pPr>
              <w:jc w:val="center"/>
            </w:pPr>
            <w:r>
              <w:rPr>
                <w:sz w:val="18"/>
              </w:rPr>
              <w:t>0.8919</w:t>
            </w:r>
          </w:p>
        </w:tc>
        <w:tc>
          <w:tcPr>
            <w:tcW w:type="dxa" w:w="1080"/>
          </w:tcPr>
          <w:p>
            <w:pPr>
              <w:jc w:val="center"/>
            </w:pPr>
            <w:r>
              <w:rPr>
                <w:sz w:val="18"/>
              </w:rPr>
              <w:t>0.6385</w:t>
            </w:r>
          </w:p>
        </w:tc>
        <w:tc>
          <w:tcPr>
            <w:tcW w:type="dxa" w:w="1080"/>
          </w:tcPr>
          <w:p>
            <w:pPr>
              <w:jc w:val="center"/>
            </w:pPr>
            <w:r>
              <w:rPr>
                <w:sz w:val="18"/>
              </w:rPr>
              <w:t>+0.2534</w:t>
            </w:r>
          </w:p>
        </w:tc>
        <w:tc>
          <w:tcPr>
            <w:tcW w:type="dxa" w:w="1080"/>
          </w:tcPr>
          <w:p>
            <w:pPr>
              <w:jc w:val="center"/>
            </w:pPr>
            <w:r>
              <w:rPr>
                <w:sz w:val="18"/>
              </w:rPr>
              <w:t>0.2510</w:t>
            </w:r>
          </w:p>
        </w:tc>
        <w:tc>
          <w:tcPr>
            <w:tcW w:type="dxa" w:w="1080"/>
          </w:tcPr>
          <w:p>
            <w:pPr>
              <w:jc w:val="center"/>
            </w:pPr>
            <w:r>
              <w:rPr>
                <w:sz w:val="18"/>
              </w:rPr>
              <w:t>0.0621</w:t>
            </w:r>
          </w:p>
        </w:tc>
        <w:tc>
          <w:tcPr>
            <w:tcW w:type="dxa" w:w="1080"/>
          </w:tcPr>
          <w:p>
            <w:pPr>
              <w:jc w:val="center"/>
            </w:pPr>
            <w:r>
              <w:rPr>
                <w:sz w:val="18"/>
              </w:rPr>
              <w:t>+0.1889</w:t>
            </w:r>
          </w:p>
        </w:tc>
        <w:tc>
          <w:tcPr>
            <w:tcW w:type="dxa" w:w="1080"/>
          </w:tcPr>
          <w:p>
            <w:pPr>
              <w:jc w:val="center"/>
            </w:pPr>
            <w:r>
              <w:rPr>
                <w:sz w:val="18"/>
              </w:rPr>
              <w:t>YES</w:t>
            </w:r>
          </w:p>
        </w:tc>
      </w:tr>
    </w:tbl>
    <w:p/>
    <w:p>
      <w:r>
        <w:t>Logistic Regression's AUC delta (+0.035) is borderline, reflecting modest memorization that does not substantially harm generalization. In contrast, LightGBM (+0.333), XGBoost (+0.262), and CatBoost (+0.253) achieve near-perfect training performance but lose most of this advantage on unseen data. This pattern is typical of tree ensembles on low-event-rate credit data where a small number of default cases can be perfectly separated by complex splits that do not generalize.</w:t>
      </w:r>
    </w:p>
    <w:p>
      <w:pPr>
        <w:pStyle w:val="Heading2"/>
      </w:pPr>
      <w:r>
        <w:t>4.4 Bootstrap Confidence Intervals</w:t>
      </w:r>
    </w:p>
    <w:p>
      <w:r>
        <w:t>Stratified bootstrap confidence intervals (1,000 iterations, stratified by class) provide uncertainty bounds. Point estimates are the observed test-set statistics, not bootstrap medians.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8"/>
              </w:rPr>
              <w:t>Model</w:t>
            </w:r>
          </w:p>
        </w:tc>
        <w:tc>
          <w:tcPr>
            <w:tcW w:type="dxa" w:w="2880"/>
            <w:shd w:val="clear" w:color="auto" w:fill="1F4E79"/>
          </w:tcPr>
          <w:p>
            <w:pPr>
              <w:jc w:val="center"/>
            </w:pPr>
            <w:r>
              <w:rPr>
                <w:b/>
                <w:color w:val="FFFFFF"/>
                <w:sz w:val="18"/>
              </w:rPr>
              <w:t>ROC AUC [95% CI]</w:t>
            </w:r>
          </w:p>
        </w:tc>
        <w:tc>
          <w:tcPr>
            <w:tcW w:type="dxa" w:w="2880"/>
            <w:shd w:val="clear" w:color="auto" w:fill="1F4E79"/>
          </w:tcPr>
          <w:p>
            <w:pPr>
              <w:jc w:val="center"/>
            </w:pPr>
            <w:r>
              <w:rPr>
                <w:b/>
                <w:color w:val="FFFFFF"/>
                <w:sz w:val="18"/>
              </w:rPr>
              <w:t>PR AUC [95% CI]</w:t>
            </w:r>
          </w:p>
        </w:tc>
      </w:tr>
      <w:tr>
        <w:tc>
          <w:tcPr>
            <w:tcW w:type="dxa" w:w="2880"/>
          </w:tcPr>
          <w:p>
            <w:pPr>
              <w:jc w:val="center"/>
            </w:pPr>
            <w:r>
              <w:rPr>
                <w:sz w:val="18"/>
              </w:rPr>
              <w:t>Logistic Regression</w:t>
            </w:r>
          </w:p>
        </w:tc>
        <w:tc>
          <w:tcPr>
            <w:tcW w:type="dxa" w:w="2880"/>
          </w:tcPr>
          <w:p>
            <w:pPr>
              <w:jc w:val="center"/>
            </w:pPr>
            <w:r>
              <w:rPr>
                <w:sz w:val="18"/>
              </w:rPr>
              <w:t>0.6658 [0.6455, 0.6853]</w:t>
            </w:r>
          </w:p>
        </w:tc>
        <w:tc>
          <w:tcPr>
            <w:tcW w:type="dxa" w:w="2880"/>
          </w:tcPr>
          <w:p>
            <w:pPr>
              <w:jc w:val="center"/>
            </w:pPr>
            <w:r>
              <w:rPr>
                <w:sz w:val="18"/>
              </w:rPr>
              <w:t>0.0642 [0.0589, 0.0709]</w:t>
            </w:r>
          </w:p>
        </w:tc>
      </w:tr>
      <w:tr>
        <w:tc>
          <w:tcPr>
            <w:tcW w:type="dxa" w:w="2880"/>
          </w:tcPr>
          <w:p>
            <w:pPr>
              <w:jc w:val="center"/>
            </w:pPr>
            <w:r>
              <w:rPr>
                <w:sz w:val="18"/>
              </w:rPr>
              <w:t>LightGBM</w:t>
            </w:r>
          </w:p>
        </w:tc>
        <w:tc>
          <w:tcPr>
            <w:tcW w:type="dxa" w:w="2880"/>
          </w:tcPr>
          <w:p>
            <w:pPr>
              <w:jc w:val="center"/>
            </w:pPr>
            <w:r>
              <w:rPr>
                <w:sz w:val="18"/>
              </w:rPr>
              <w:t>0.6441 [0.6225, 0.6633]</w:t>
            </w:r>
          </w:p>
        </w:tc>
        <w:tc>
          <w:tcPr>
            <w:tcW w:type="dxa" w:w="2880"/>
          </w:tcPr>
          <w:p>
            <w:pPr>
              <w:jc w:val="center"/>
            </w:pPr>
            <w:r>
              <w:rPr>
                <w:sz w:val="18"/>
              </w:rPr>
              <w:t>0.0621 [0.0563, 0.0712]</w:t>
            </w:r>
          </w:p>
        </w:tc>
      </w:tr>
      <w:tr>
        <w:tc>
          <w:tcPr>
            <w:tcW w:type="dxa" w:w="2880"/>
          </w:tcPr>
          <w:p>
            <w:pPr>
              <w:jc w:val="center"/>
            </w:pPr>
            <w:r>
              <w:rPr>
                <w:sz w:val="18"/>
              </w:rPr>
              <w:t>XGBoost</w:t>
            </w:r>
          </w:p>
        </w:tc>
        <w:tc>
          <w:tcPr>
            <w:tcW w:type="dxa" w:w="2880"/>
          </w:tcPr>
          <w:p>
            <w:pPr>
              <w:jc w:val="center"/>
            </w:pPr>
            <w:r>
              <w:rPr>
                <w:sz w:val="18"/>
              </w:rPr>
              <w:t>0.6443 [0.6241, 0.6654]</w:t>
            </w:r>
          </w:p>
        </w:tc>
        <w:tc>
          <w:tcPr>
            <w:tcW w:type="dxa" w:w="2880"/>
          </w:tcPr>
          <w:p>
            <w:pPr>
              <w:jc w:val="center"/>
            </w:pPr>
            <w:r>
              <w:rPr>
                <w:sz w:val="18"/>
              </w:rPr>
              <w:t>0.0618 [0.0560, 0.0704]</w:t>
            </w:r>
          </w:p>
        </w:tc>
      </w:tr>
      <w:tr>
        <w:tc>
          <w:tcPr>
            <w:tcW w:type="dxa" w:w="2880"/>
          </w:tcPr>
          <w:p>
            <w:pPr>
              <w:jc w:val="center"/>
            </w:pPr>
            <w:r>
              <w:rPr>
                <w:sz w:val="18"/>
              </w:rPr>
              <w:t>CatBoost</w:t>
            </w:r>
          </w:p>
        </w:tc>
        <w:tc>
          <w:tcPr>
            <w:tcW w:type="dxa" w:w="2880"/>
          </w:tcPr>
          <w:p>
            <w:pPr>
              <w:jc w:val="center"/>
            </w:pPr>
            <w:r>
              <w:rPr>
                <w:sz w:val="18"/>
              </w:rPr>
              <w:t>0.6385 [0.6162, 0.6603]</w:t>
            </w:r>
          </w:p>
        </w:tc>
        <w:tc>
          <w:tcPr>
            <w:tcW w:type="dxa" w:w="2880"/>
          </w:tcPr>
          <w:p>
            <w:pPr>
              <w:jc w:val="center"/>
            </w:pPr>
            <w:r>
              <w:rPr>
                <w:sz w:val="18"/>
              </w:rPr>
              <w:t>0.0621 [0.0561, 0.0711]</w:t>
            </w:r>
          </w:p>
        </w:tc>
      </w:tr>
      <w:tr>
        <w:tc>
          <w:tcPr>
            <w:tcW w:type="dxa" w:w="2880"/>
          </w:tcPr>
          <w:p>
            <w:pPr>
              <w:jc w:val="center"/>
            </w:pPr>
            <w:r>
              <w:rPr>
                <w:sz w:val="18"/>
              </w:rPr>
              <w:t>risk_score_rf (benchmark)</w:t>
            </w:r>
          </w:p>
        </w:tc>
        <w:tc>
          <w:tcPr>
            <w:tcW w:type="dxa" w:w="2880"/>
          </w:tcPr>
          <w:p>
            <w:pPr>
              <w:jc w:val="center"/>
            </w:pPr>
            <w:r>
              <w:rPr>
                <w:sz w:val="18"/>
              </w:rPr>
              <w:t>0.6613 [0.6356, 0.6843]</w:t>
            </w:r>
          </w:p>
        </w:tc>
        <w:tc>
          <w:tcPr>
            <w:tcW w:type="dxa" w:w="2880"/>
          </w:tcPr>
          <w:p>
            <w:pPr>
              <w:jc w:val="center"/>
            </w:pPr>
            <w:r>
              <w:rPr>
                <w:sz w:val="18"/>
              </w:rPr>
              <w:t>0.0879 [0.0766, 0.1034]</w:t>
            </w:r>
          </w:p>
        </w:tc>
      </w:tr>
      <w:tr>
        <w:tc>
          <w:tcPr>
            <w:tcW w:type="dxa" w:w="2880"/>
          </w:tcPr>
          <w:p>
            <w:pPr>
              <w:jc w:val="center"/>
            </w:pPr>
            <w:r>
              <w:rPr>
                <w:sz w:val="18"/>
              </w:rPr>
              <w:t>score_RF (benchmark)</w:t>
            </w:r>
          </w:p>
        </w:tc>
        <w:tc>
          <w:tcPr>
            <w:tcW w:type="dxa" w:w="2880"/>
          </w:tcPr>
          <w:p>
            <w:pPr>
              <w:jc w:val="center"/>
            </w:pPr>
            <w:r>
              <w:rPr>
                <w:sz w:val="18"/>
              </w:rPr>
              <w:t>0.6185 [0.5979, 0.6395]</w:t>
            </w:r>
          </w:p>
        </w:tc>
        <w:tc>
          <w:tcPr>
            <w:tcW w:type="dxa" w:w="2880"/>
          </w:tcPr>
          <w:p>
            <w:pPr>
              <w:jc w:val="center"/>
            </w:pPr>
            <w:r>
              <w:rPr>
                <w:sz w:val="18"/>
              </w:rPr>
              <w:t>0.0538 [0.0495, 0.0604]</w:t>
            </w:r>
          </w:p>
        </w:tc>
      </w:tr>
    </w:tbl>
    <w:p/>
    <w:p>
      <w:pPr>
        <w:pStyle w:val="Heading2"/>
      </w:pPr>
      <w:r>
        <w:t>4.5 Rolling Out-of-Time Validation</w:t>
      </w:r>
    </w:p>
    <w:p>
      <w:r>
        <w:t>Rolling OOT validation trains fresh models on expanding time windows and evaluates on forward holdout periods. This simulates the model's behaviour as the calendar advances and is a stronger stability test than the single held-out evaluation.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pPr>
              <w:jc w:val="center"/>
            </w:pPr>
            <w:r>
              <w:rPr>
                <w:b/>
                <w:color w:val="FFFFFF"/>
                <w:sz w:val="18"/>
              </w:rPr>
              <w:t>Model</w:t>
            </w:r>
          </w:p>
        </w:tc>
        <w:tc>
          <w:tcPr>
            <w:tcW w:type="dxa" w:w="1440"/>
            <w:shd w:val="clear" w:color="auto" w:fill="1F4E79"/>
          </w:tcPr>
          <w:p>
            <w:pPr>
              <w:jc w:val="center"/>
            </w:pPr>
            <w:r>
              <w:rPr>
                <w:b/>
                <w:color w:val="FFFFFF"/>
                <w:sz w:val="18"/>
              </w:rPr>
              <w:t>Folds</w:t>
            </w:r>
          </w:p>
        </w:tc>
        <w:tc>
          <w:tcPr>
            <w:tcW w:type="dxa" w:w="1440"/>
            <w:shd w:val="clear" w:color="auto" w:fill="1F4E79"/>
          </w:tcPr>
          <w:p>
            <w:pPr>
              <w:jc w:val="center"/>
            </w:pPr>
            <w:r>
              <w:rPr>
                <w:b/>
                <w:color w:val="FFFFFF"/>
                <w:sz w:val="18"/>
              </w:rPr>
              <w:t>Mean AUC</w:t>
            </w:r>
          </w:p>
        </w:tc>
        <w:tc>
          <w:tcPr>
            <w:tcW w:type="dxa" w:w="1440"/>
            <w:shd w:val="clear" w:color="auto" w:fill="1F4E79"/>
          </w:tcPr>
          <w:p>
            <w:pPr>
              <w:jc w:val="center"/>
            </w:pPr>
            <w:r>
              <w:rPr>
                <w:b/>
                <w:color w:val="FFFFFF"/>
                <w:sz w:val="18"/>
              </w:rPr>
              <w:t>Std</w:t>
            </w:r>
          </w:p>
        </w:tc>
        <w:tc>
          <w:tcPr>
            <w:tcW w:type="dxa" w:w="1440"/>
            <w:shd w:val="clear" w:color="auto" w:fill="1F4E79"/>
          </w:tcPr>
          <w:p>
            <w:pPr>
              <w:jc w:val="center"/>
            </w:pPr>
            <w:r>
              <w:rPr>
                <w:b/>
                <w:color w:val="FFFFFF"/>
                <w:sz w:val="18"/>
              </w:rPr>
              <w:t>Mean PR</w:t>
            </w:r>
          </w:p>
        </w:tc>
        <w:tc>
          <w:tcPr>
            <w:tcW w:type="dxa" w:w="1440"/>
            <w:shd w:val="clear" w:color="auto" w:fill="1F4E79"/>
          </w:tcPr>
          <w:p>
            <w:pPr>
              <w:jc w:val="center"/>
            </w:pPr>
            <w:r>
              <w:rPr>
                <w:b/>
                <w:color w:val="FFFFFF"/>
                <w:sz w:val="18"/>
              </w:rPr>
              <w:t>Std</w:t>
            </w:r>
          </w:p>
        </w:tc>
      </w:tr>
      <w:tr>
        <w:tc>
          <w:tcPr>
            <w:tcW w:type="dxa" w:w="1440"/>
          </w:tcPr>
          <w:p>
            <w:pPr>
              <w:jc w:val="center"/>
            </w:pPr>
            <w:r>
              <w:rPr>
                <w:sz w:val="18"/>
              </w:rPr>
              <w:t>risk_score_rf (benchmark)</w:t>
            </w:r>
          </w:p>
        </w:tc>
        <w:tc>
          <w:tcPr>
            <w:tcW w:type="dxa" w:w="1440"/>
          </w:tcPr>
          <w:p>
            <w:pPr>
              <w:jc w:val="center"/>
            </w:pPr>
            <w:r>
              <w:rPr>
                <w:sz w:val="18"/>
              </w:rPr>
              <w:t>4</w:t>
            </w:r>
          </w:p>
        </w:tc>
        <w:tc>
          <w:tcPr>
            <w:tcW w:type="dxa" w:w="1440"/>
          </w:tcPr>
          <w:p>
            <w:pPr>
              <w:jc w:val="center"/>
            </w:pPr>
            <w:r>
              <w:rPr>
                <w:sz w:val="18"/>
              </w:rPr>
              <w:t>0.6587</w:t>
            </w:r>
          </w:p>
        </w:tc>
        <w:tc>
          <w:tcPr>
            <w:tcW w:type="dxa" w:w="1440"/>
          </w:tcPr>
          <w:p>
            <w:pPr>
              <w:jc w:val="center"/>
            </w:pPr>
            <w:r>
              <w:rPr>
                <w:sz w:val="18"/>
              </w:rPr>
              <w:t>(0.0109)</w:t>
            </w:r>
          </w:p>
        </w:tc>
        <w:tc>
          <w:tcPr>
            <w:tcW w:type="dxa" w:w="1440"/>
          </w:tcPr>
          <w:p>
            <w:pPr>
              <w:jc w:val="center"/>
            </w:pPr>
            <w:r>
              <w:rPr>
                <w:sz w:val="18"/>
              </w:rPr>
              <w:t>0.0841</w:t>
            </w:r>
          </w:p>
        </w:tc>
        <w:tc>
          <w:tcPr>
            <w:tcW w:type="dxa" w:w="1440"/>
          </w:tcPr>
          <w:p>
            <w:pPr>
              <w:jc w:val="center"/>
            </w:pPr>
            <w:r>
              <w:rPr>
                <w:sz w:val="18"/>
              </w:rPr>
              <w:t>(0.0093)</w:t>
            </w:r>
          </w:p>
        </w:tc>
      </w:tr>
      <w:tr>
        <w:tc>
          <w:tcPr>
            <w:tcW w:type="dxa" w:w="1440"/>
          </w:tcPr>
          <w:p>
            <w:pPr>
              <w:jc w:val="center"/>
            </w:pPr>
            <w:r>
              <w:rPr>
                <w:sz w:val="18"/>
              </w:rPr>
              <w:t>LightGBM</w:t>
            </w:r>
          </w:p>
        </w:tc>
        <w:tc>
          <w:tcPr>
            <w:tcW w:type="dxa" w:w="1440"/>
          </w:tcPr>
          <w:p>
            <w:pPr>
              <w:jc w:val="center"/>
            </w:pPr>
            <w:r>
              <w:rPr>
                <w:sz w:val="18"/>
              </w:rPr>
              <w:t>4</w:t>
            </w:r>
          </w:p>
        </w:tc>
        <w:tc>
          <w:tcPr>
            <w:tcW w:type="dxa" w:w="1440"/>
          </w:tcPr>
          <w:p>
            <w:pPr>
              <w:jc w:val="center"/>
            </w:pPr>
            <w:r>
              <w:rPr>
                <w:sz w:val="18"/>
              </w:rPr>
              <w:t>0.6315</w:t>
            </w:r>
          </w:p>
        </w:tc>
        <w:tc>
          <w:tcPr>
            <w:tcW w:type="dxa" w:w="1440"/>
          </w:tcPr>
          <w:p>
            <w:pPr>
              <w:jc w:val="center"/>
            </w:pPr>
            <w:r>
              <w:rPr>
                <w:sz w:val="18"/>
              </w:rPr>
              <w:t>(0.0274)</w:t>
            </w:r>
          </w:p>
        </w:tc>
        <w:tc>
          <w:tcPr>
            <w:tcW w:type="dxa" w:w="1440"/>
          </w:tcPr>
          <w:p>
            <w:pPr>
              <w:jc w:val="center"/>
            </w:pPr>
            <w:r>
              <w:rPr>
                <w:sz w:val="18"/>
              </w:rPr>
              <w:t>0.0631</w:t>
            </w:r>
          </w:p>
        </w:tc>
        <w:tc>
          <w:tcPr>
            <w:tcW w:type="dxa" w:w="1440"/>
          </w:tcPr>
          <w:p>
            <w:pPr>
              <w:jc w:val="center"/>
            </w:pPr>
            <w:r>
              <w:rPr>
                <w:sz w:val="18"/>
              </w:rPr>
              <w:t>(0.0114)</w:t>
            </w:r>
          </w:p>
        </w:tc>
      </w:tr>
      <w:tr>
        <w:tc>
          <w:tcPr>
            <w:tcW w:type="dxa" w:w="1440"/>
          </w:tcPr>
          <w:p>
            <w:pPr>
              <w:jc w:val="center"/>
            </w:pPr>
            <w:r>
              <w:rPr>
                <w:sz w:val="18"/>
              </w:rPr>
              <w:t>CatBoost</w:t>
            </w:r>
          </w:p>
        </w:tc>
        <w:tc>
          <w:tcPr>
            <w:tcW w:type="dxa" w:w="1440"/>
          </w:tcPr>
          <w:p>
            <w:pPr>
              <w:jc w:val="center"/>
            </w:pPr>
            <w:r>
              <w:rPr>
                <w:sz w:val="18"/>
              </w:rPr>
              <w:t>4</w:t>
            </w:r>
          </w:p>
        </w:tc>
        <w:tc>
          <w:tcPr>
            <w:tcW w:type="dxa" w:w="1440"/>
          </w:tcPr>
          <w:p>
            <w:pPr>
              <w:jc w:val="center"/>
            </w:pPr>
            <w:r>
              <w:rPr>
                <w:sz w:val="18"/>
              </w:rPr>
              <w:t>0.6258</w:t>
            </w:r>
          </w:p>
        </w:tc>
        <w:tc>
          <w:tcPr>
            <w:tcW w:type="dxa" w:w="1440"/>
          </w:tcPr>
          <w:p>
            <w:pPr>
              <w:jc w:val="center"/>
            </w:pPr>
            <w:r>
              <w:rPr>
                <w:sz w:val="18"/>
              </w:rPr>
              <w:t>(0.0218)</w:t>
            </w:r>
          </w:p>
        </w:tc>
        <w:tc>
          <w:tcPr>
            <w:tcW w:type="dxa" w:w="1440"/>
          </w:tcPr>
          <w:p>
            <w:pPr>
              <w:jc w:val="center"/>
            </w:pPr>
            <w:r>
              <w:rPr>
                <w:sz w:val="18"/>
              </w:rPr>
              <w:t>0.0615</w:t>
            </w:r>
          </w:p>
        </w:tc>
        <w:tc>
          <w:tcPr>
            <w:tcW w:type="dxa" w:w="1440"/>
          </w:tcPr>
          <w:p>
            <w:pPr>
              <w:jc w:val="center"/>
            </w:pPr>
            <w:r>
              <w:rPr>
                <w:sz w:val="18"/>
              </w:rPr>
              <w:t>(0.0063)</w:t>
            </w:r>
          </w:p>
        </w:tc>
      </w:tr>
      <w:tr>
        <w:tc>
          <w:tcPr>
            <w:tcW w:type="dxa" w:w="1440"/>
          </w:tcPr>
          <w:p>
            <w:pPr>
              <w:jc w:val="center"/>
            </w:pPr>
            <w:r>
              <w:rPr>
                <w:sz w:val="18"/>
              </w:rPr>
              <w:t>XGBoost</w:t>
            </w:r>
          </w:p>
        </w:tc>
        <w:tc>
          <w:tcPr>
            <w:tcW w:type="dxa" w:w="1440"/>
          </w:tcPr>
          <w:p>
            <w:pPr>
              <w:jc w:val="center"/>
            </w:pPr>
            <w:r>
              <w:rPr>
                <w:sz w:val="18"/>
              </w:rPr>
              <w:t>4</w:t>
            </w:r>
          </w:p>
        </w:tc>
        <w:tc>
          <w:tcPr>
            <w:tcW w:type="dxa" w:w="1440"/>
          </w:tcPr>
          <w:p>
            <w:pPr>
              <w:jc w:val="center"/>
            </w:pPr>
            <w:r>
              <w:rPr>
                <w:sz w:val="18"/>
              </w:rPr>
              <w:t>0.6345</w:t>
            </w:r>
          </w:p>
        </w:tc>
        <w:tc>
          <w:tcPr>
            <w:tcW w:type="dxa" w:w="1440"/>
          </w:tcPr>
          <w:p>
            <w:pPr>
              <w:jc w:val="center"/>
            </w:pPr>
            <w:r>
              <w:rPr>
                <w:sz w:val="18"/>
              </w:rPr>
              <w:t>(0.0273)</w:t>
            </w:r>
          </w:p>
        </w:tc>
        <w:tc>
          <w:tcPr>
            <w:tcW w:type="dxa" w:w="1440"/>
          </w:tcPr>
          <w:p>
            <w:pPr>
              <w:jc w:val="center"/>
            </w:pPr>
            <w:r>
              <w:rPr>
                <w:sz w:val="18"/>
              </w:rPr>
              <w:t>0.0606</w:t>
            </w:r>
          </w:p>
        </w:tc>
        <w:tc>
          <w:tcPr>
            <w:tcW w:type="dxa" w:w="1440"/>
          </w:tcPr>
          <w:p>
            <w:pPr>
              <w:jc w:val="center"/>
            </w:pPr>
            <w:r>
              <w:rPr>
                <w:sz w:val="18"/>
              </w:rPr>
              <w:t>(0.0096)</w:t>
            </w:r>
          </w:p>
        </w:tc>
      </w:tr>
      <w:tr>
        <w:tc>
          <w:tcPr>
            <w:tcW w:type="dxa" w:w="1440"/>
          </w:tcPr>
          <w:p>
            <w:pPr>
              <w:jc w:val="center"/>
            </w:pPr>
            <w:r>
              <w:rPr>
                <w:sz w:val="18"/>
              </w:rPr>
              <w:t>Logistic Regression</w:t>
            </w:r>
          </w:p>
        </w:tc>
        <w:tc>
          <w:tcPr>
            <w:tcW w:type="dxa" w:w="1440"/>
          </w:tcPr>
          <w:p>
            <w:pPr>
              <w:jc w:val="center"/>
            </w:pPr>
            <w:r>
              <w:rPr>
                <w:sz w:val="18"/>
              </w:rPr>
              <w:t>4</w:t>
            </w:r>
          </w:p>
        </w:tc>
        <w:tc>
          <w:tcPr>
            <w:tcW w:type="dxa" w:w="1440"/>
          </w:tcPr>
          <w:p>
            <w:pPr>
              <w:jc w:val="center"/>
            </w:pPr>
            <w:r>
              <w:rPr>
                <w:sz w:val="18"/>
              </w:rPr>
              <w:t>0.6354</w:t>
            </w:r>
          </w:p>
        </w:tc>
        <w:tc>
          <w:tcPr>
            <w:tcW w:type="dxa" w:w="1440"/>
          </w:tcPr>
          <w:p>
            <w:pPr>
              <w:jc w:val="center"/>
            </w:pPr>
            <w:r>
              <w:rPr>
                <w:sz w:val="18"/>
              </w:rPr>
              <w:t>(0.0238)</w:t>
            </w:r>
          </w:p>
        </w:tc>
        <w:tc>
          <w:tcPr>
            <w:tcW w:type="dxa" w:w="1440"/>
          </w:tcPr>
          <w:p>
            <w:pPr>
              <w:jc w:val="center"/>
            </w:pPr>
            <w:r>
              <w:rPr>
                <w:sz w:val="18"/>
              </w:rPr>
              <w:t>0.0581</w:t>
            </w:r>
          </w:p>
        </w:tc>
        <w:tc>
          <w:tcPr>
            <w:tcW w:type="dxa" w:w="1440"/>
          </w:tcPr>
          <w:p>
            <w:pPr>
              <w:jc w:val="center"/>
            </w:pPr>
            <w:r>
              <w:rPr>
                <w:sz w:val="18"/>
              </w:rPr>
              <w:t>(0.0046)</w:t>
            </w:r>
          </w:p>
        </w:tc>
      </w:tr>
      <w:tr>
        <w:tc>
          <w:tcPr>
            <w:tcW w:type="dxa" w:w="1440"/>
          </w:tcPr>
          <w:p>
            <w:pPr>
              <w:jc w:val="center"/>
            </w:pPr>
            <w:r>
              <w:rPr>
                <w:sz w:val="18"/>
              </w:rPr>
              <w:t>score_RF (benchmark)</w:t>
            </w:r>
          </w:p>
        </w:tc>
        <w:tc>
          <w:tcPr>
            <w:tcW w:type="dxa" w:w="1440"/>
          </w:tcPr>
          <w:p>
            <w:pPr>
              <w:jc w:val="center"/>
            </w:pPr>
            <w:r>
              <w:rPr>
                <w:sz w:val="18"/>
              </w:rPr>
              <w:t>4</w:t>
            </w:r>
          </w:p>
        </w:tc>
        <w:tc>
          <w:tcPr>
            <w:tcW w:type="dxa" w:w="1440"/>
          </w:tcPr>
          <w:p>
            <w:pPr>
              <w:jc w:val="center"/>
            </w:pPr>
            <w:r>
              <w:rPr>
                <w:sz w:val="18"/>
              </w:rPr>
              <w:t>0.6264</w:t>
            </w:r>
          </w:p>
        </w:tc>
        <w:tc>
          <w:tcPr>
            <w:tcW w:type="dxa" w:w="1440"/>
          </w:tcPr>
          <w:p>
            <w:pPr>
              <w:jc w:val="center"/>
            </w:pPr>
            <w:r>
              <w:rPr>
                <w:sz w:val="18"/>
              </w:rPr>
              <w:t>(0.0165)</w:t>
            </w:r>
          </w:p>
        </w:tc>
        <w:tc>
          <w:tcPr>
            <w:tcW w:type="dxa" w:w="1440"/>
          </w:tcPr>
          <w:p>
            <w:pPr>
              <w:jc w:val="center"/>
            </w:pPr>
            <w:r>
              <w:rPr>
                <w:sz w:val="18"/>
              </w:rPr>
              <w:t>0.0544</w:t>
            </w:r>
          </w:p>
        </w:tc>
        <w:tc>
          <w:tcPr>
            <w:tcW w:type="dxa" w:w="1440"/>
          </w:tcPr>
          <w:p>
            <w:pPr>
              <w:jc w:val="center"/>
            </w:pPr>
            <w:r>
              <w:rPr>
                <w:sz w:val="18"/>
              </w:rPr>
              <w:t>(0.0051)</w:t>
            </w:r>
          </w:p>
        </w:tc>
      </w:tr>
    </w:tbl>
    <w:p/>
    <w:p>
      <w:pPr>
        <w:jc w:val="center"/>
      </w:pPr>
      <w:r>
        <w:drawing>
          <wp:inline xmlns:a="http://schemas.openxmlformats.org/drawingml/2006/main" xmlns:pic="http://schemas.openxmlformats.org/drawingml/2006/picture">
            <wp:extent cx="5029200" cy="2189655"/>
            <wp:docPr id="2" name="Picture 2"/>
            <wp:cNvGraphicFramePr>
              <a:graphicFrameLocks noChangeAspect="1"/>
            </wp:cNvGraphicFramePr>
            <a:graphic>
              <a:graphicData uri="http://schemas.openxmlformats.org/drawingml/2006/picture">
                <pic:pic>
                  <pic:nvPicPr>
                    <pic:cNvPr id="0" name="stakeholder_rolling_oot.png"/>
                    <pic:cNvPicPr/>
                  </pic:nvPicPr>
                  <pic:blipFill>
                    <a:blip r:embed="rId10"/>
                    <a:stretch>
                      <a:fillRect/>
                    </a:stretch>
                  </pic:blipFill>
                  <pic:spPr>
                    <a:xfrm>
                      <a:off x="0" y="0"/>
                      <a:ext cx="5029200" cy="2189655"/>
                    </a:xfrm>
                    <a:prstGeom prst="rect"/>
                  </pic:spPr>
                </pic:pic>
              </a:graphicData>
            </a:graphic>
          </wp:inline>
        </w:drawing>
      </w:r>
    </w:p>
    <w:p/>
    <w:p>
      <w:pPr>
        <w:pStyle w:val="Heading2"/>
      </w:pPr>
      <w:r>
        <w:t>4.6 Concept Drift Detection</w:t>
      </w:r>
    </w:p>
    <w:p>
      <w:r>
        <w:t>Concept drift is assessed by fitting a linear trend to PR AUC across rolling OOT folds. A declining trend exceeding 0.02 first-to-last triggers a drift flag, indicating that the score-to-outcome relationship may be degrading over time.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jc w:val="center"/>
            </w:pPr>
            <w:r>
              <w:rPr>
                <w:b/>
                <w:color w:val="FFFFFF"/>
                <w:sz w:val="18"/>
              </w:rPr>
              <w:t>Model</w:t>
            </w:r>
          </w:p>
        </w:tc>
        <w:tc>
          <w:tcPr>
            <w:tcW w:type="dxa" w:w="1728"/>
            <w:shd w:val="clear" w:color="auto" w:fill="1F4E79"/>
          </w:tcPr>
          <w:p>
            <w:pPr>
              <w:jc w:val="center"/>
            </w:pPr>
            <w:r>
              <w:rPr>
                <w:b/>
                <w:color w:val="FFFFFF"/>
                <w:sz w:val="18"/>
              </w:rPr>
              <w:t>First PR</w:t>
            </w:r>
          </w:p>
        </w:tc>
        <w:tc>
          <w:tcPr>
            <w:tcW w:type="dxa" w:w="1728"/>
            <w:shd w:val="clear" w:color="auto" w:fill="1F4E79"/>
          </w:tcPr>
          <w:p>
            <w:pPr>
              <w:jc w:val="center"/>
            </w:pPr>
            <w:r>
              <w:rPr>
                <w:b/>
                <w:color w:val="FFFFFF"/>
                <w:sz w:val="18"/>
              </w:rPr>
              <w:t>Last PR</w:t>
            </w:r>
          </w:p>
        </w:tc>
        <w:tc>
          <w:tcPr>
            <w:tcW w:type="dxa" w:w="1728"/>
            <w:shd w:val="clear" w:color="auto" w:fill="1F4E79"/>
          </w:tcPr>
          <w:p>
            <w:pPr>
              <w:jc w:val="center"/>
            </w:pPr>
            <w:r>
              <w:rPr>
                <w:b/>
                <w:color w:val="FFFFFF"/>
                <w:sz w:val="18"/>
              </w:rPr>
              <w:t>Slope/Fold</w:t>
            </w:r>
          </w:p>
        </w:tc>
        <w:tc>
          <w:tcPr>
            <w:tcW w:type="dxa" w:w="1728"/>
            <w:shd w:val="clear" w:color="auto" w:fill="1F4E79"/>
          </w:tcPr>
          <w:p>
            <w:pPr>
              <w:jc w:val="center"/>
            </w:pPr>
            <w:r>
              <w:rPr>
                <w:b/>
                <w:color w:val="FFFFFF"/>
                <w:sz w:val="18"/>
              </w:rPr>
              <w:t>Drift</w:t>
            </w:r>
          </w:p>
        </w:tc>
      </w:tr>
      <w:tr>
        <w:tc>
          <w:tcPr>
            <w:tcW w:type="dxa" w:w="1728"/>
          </w:tcPr>
          <w:p>
            <w:pPr>
              <w:jc w:val="center"/>
            </w:pPr>
            <w:r>
              <w:rPr>
                <w:sz w:val="18"/>
              </w:rPr>
              <w:t>Logistic Regression</w:t>
            </w:r>
          </w:p>
        </w:tc>
        <w:tc>
          <w:tcPr>
            <w:tcW w:type="dxa" w:w="1728"/>
          </w:tcPr>
          <w:p>
            <w:pPr>
              <w:jc w:val="center"/>
            </w:pPr>
            <w:r>
              <w:rPr>
                <w:sz w:val="18"/>
              </w:rPr>
              <w:t>0.0563</w:t>
            </w:r>
          </w:p>
        </w:tc>
        <w:tc>
          <w:tcPr>
            <w:tcW w:type="dxa" w:w="1728"/>
          </w:tcPr>
          <w:p>
            <w:pPr>
              <w:jc w:val="center"/>
            </w:pPr>
            <w:r>
              <w:rPr>
                <w:sz w:val="18"/>
              </w:rPr>
              <w:t>0.0528</w:t>
            </w:r>
          </w:p>
        </w:tc>
        <w:tc>
          <w:tcPr>
            <w:tcW w:type="dxa" w:w="1728"/>
          </w:tcPr>
          <w:p>
            <w:pPr>
              <w:jc w:val="center"/>
            </w:pPr>
            <w:r>
              <w:rPr>
                <w:sz w:val="18"/>
              </w:rPr>
              <w:t>-0.0007</w:t>
            </w:r>
          </w:p>
        </w:tc>
        <w:tc>
          <w:tcPr>
            <w:tcW w:type="dxa" w:w="1728"/>
          </w:tcPr>
          <w:p>
            <w:pPr>
              <w:jc w:val="center"/>
            </w:pPr>
            <w:r>
              <w:rPr>
                <w:sz w:val="18"/>
              </w:rPr>
              <w:t>NO</w:t>
            </w:r>
          </w:p>
        </w:tc>
      </w:tr>
      <w:tr>
        <w:tc>
          <w:tcPr>
            <w:tcW w:type="dxa" w:w="1728"/>
          </w:tcPr>
          <w:p>
            <w:pPr>
              <w:jc w:val="center"/>
            </w:pPr>
            <w:r>
              <w:rPr>
                <w:sz w:val="18"/>
              </w:rPr>
              <w:t>LightGBM</w:t>
            </w:r>
          </w:p>
        </w:tc>
        <w:tc>
          <w:tcPr>
            <w:tcW w:type="dxa" w:w="1728"/>
          </w:tcPr>
          <w:p>
            <w:pPr>
              <w:jc w:val="center"/>
            </w:pPr>
            <w:r>
              <w:rPr>
                <w:sz w:val="18"/>
              </w:rPr>
              <w:t>0.0557</w:t>
            </w:r>
          </w:p>
        </w:tc>
        <w:tc>
          <w:tcPr>
            <w:tcW w:type="dxa" w:w="1728"/>
          </w:tcPr>
          <w:p>
            <w:pPr>
              <w:jc w:val="center"/>
            </w:pPr>
            <w:r>
              <w:rPr>
                <w:sz w:val="18"/>
              </w:rPr>
              <w:t>0.0528</w:t>
            </w:r>
          </w:p>
        </w:tc>
        <w:tc>
          <w:tcPr>
            <w:tcW w:type="dxa" w:w="1728"/>
          </w:tcPr>
          <w:p>
            <w:pPr>
              <w:jc w:val="center"/>
            </w:pPr>
            <w:r>
              <w:rPr>
                <w:sz w:val="18"/>
              </w:rPr>
              <w:t>+0.0003</w:t>
            </w:r>
          </w:p>
        </w:tc>
        <w:tc>
          <w:tcPr>
            <w:tcW w:type="dxa" w:w="1728"/>
          </w:tcPr>
          <w:p>
            <w:pPr>
              <w:jc w:val="center"/>
            </w:pPr>
            <w:r>
              <w:rPr>
                <w:sz w:val="18"/>
              </w:rPr>
              <w:t>NO</w:t>
            </w:r>
          </w:p>
        </w:tc>
      </w:tr>
      <w:tr>
        <w:tc>
          <w:tcPr>
            <w:tcW w:type="dxa" w:w="1728"/>
          </w:tcPr>
          <w:p>
            <w:pPr>
              <w:jc w:val="center"/>
            </w:pPr>
            <w:r>
              <w:rPr>
                <w:sz w:val="18"/>
              </w:rPr>
              <w:t>XGBoost</w:t>
            </w:r>
          </w:p>
        </w:tc>
        <w:tc>
          <w:tcPr>
            <w:tcW w:type="dxa" w:w="1728"/>
          </w:tcPr>
          <w:p>
            <w:pPr>
              <w:jc w:val="center"/>
            </w:pPr>
            <w:r>
              <w:rPr>
                <w:sz w:val="18"/>
              </w:rPr>
              <w:t>0.0574</w:t>
            </w:r>
          </w:p>
        </w:tc>
        <w:tc>
          <w:tcPr>
            <w:tcW w:type="dxa" w:w="1728"/>
          </w:tcPr>
          <w:p>
            <w:pPr>
              <w:jc w:val="center"/>
            </w:pPr>
            <w:r>
              <w:rPr>
                <w:sz w:val="18"/>
              </w:rPr>
              <w:t>0.0502</w:t>
            </w:r>
          </w:p>
        </w:tc>
        <w:tc>
          <w:tcPr>
            <w:tcW w:type="dxa" w:w="1728"/>
          </w:tcPr>
          <w:p>
            <w:pPr>
              <w:jc w:val="center"/>
            </w:pPr>
            <w:r>
              <w:rPr>
                <w:sz w:val="18"/>
              </w:rPr>
              <w:t>-0.0010</w:t>
            </w:r>
          </w:p>
        </w:tc>
        <w:tc>
          <w:tcPr>
            <w:tcW w:type="dxa" w:w="1728"/>
          </w:tcPr>
          <w:p>
            <w:pPr>
              <w:jc w:val="center"/>
            </w:pPr>
            <w:r>
              <w:rPr>
                <w:sz w:val="18"/>
              </w:rPr>
              <w:t>NO</w:t>
            </w:r>
          </w:p>
        </w:tc>
      </w:tr>
      <w:tr>
        <w:tc>
          <w:tcPr>
            <w:tcW w:type="dxa" w:w="1728"/>
          </w:tcPr>
          <w:p>
            <w:pPr>
              <w:jc w:val="center"/>
            </w:pPr>
            <w:r>
              <w:rPr>
                <w:sz w:val="18"/>
              </w:rPr>
              <w:t>CatBoost</w:t>
            </w:r>
          </w:p>
        </w:tc>
        <w:tc>
          <w:tcPr>
            <w:tcW w:type="dxa" w:w="1728"/>
          </w:tcPr>
          <w:p>
            <w:pPr>
              <w:jc w:val="center"/>
            </w:pPr>
            <w:r>
              <w:rPr>
                <w:sz w:val="18"/>
              </w:rPr>
              <w:t>0.0622</w:t>
            </w:r>
          </w:p>
        </w:tc>
        <w:tc>
          <w:tcPr>
            <w:tcW w:type="dxa" w:w="1728"/>
          </w:tcPr>
          <w:p>
            <w:pPr>
              <w:jc w:val="center"/>
            </w:pPr>
            <w:r>
              <w:rPr>
                <w:sz w:val="18"/>
              </w:rPr>
              <w:t>0.0562</w:t>
            </w:r>
          </w:p>
        </w:tc>
        <w:tc>
          <w:tcPr>
            <w:tcW w:type="dxa" w:w="1728"/>
          </w:tcPr>
          <w:p>
            <w:pPr>
              <w:jc w:val="center"/>
            </w:pPr>
            <w:r>
              <w:rPr>
                <w:sz w:val="18"/>
              </w:rPr>
              <w:t>-0.0006</w:t>
            </w:r>
          </w:p>
        </w:tc>
        <w:tc>
          <w:tcPr>
            <w:tcW w:type="dxa" w:w="1728"/>
          </w:tcPr>
          <w:p>
            <w:pPr>
              <w:jc w:val="center"/>
            </w:pPr>
            <w:r>
              <w:rPr>
                <w:sz w:val="18"/>
              </w:rPr>
              <w:t>NO</w:t>
            </w:r>
          </w:p>
        </w:tc>
      </w:tr>
    </w:tbl>
    <w:p/>
    <w:p>
      <w:r>
        <w:t>No models show concept drift in the current evaluation period. PR AUC fluctuations are within normal sampling variance across all four forward windows.</w:t>
      </w:r>
    </w:p>
    <w:p>
      <w:pPr>
        <w:pStyle w:val="Heading1"/>
      </w:pPr>
      <w:r>
        <w:t>5. Operational Analysis</w:t>
      </w:r>
    </w:p>
    <w:p>
      <w:pPr>
        <w:pStyle w:val="Heading2"/>
      </w:pPr>
      <w:r>
        <w:t>5.1 Decile Lift Table</w:t>
      </w:r>
    </w:p>
    <w:p>
      <w:r>
        <w:t>The lift table for Logistic Regression shows how defaults concentrate in the highest-risk score deciles. This is the most operationally relevant view for setting rejection thresholds.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pPr>
              <w:jc w:val="center"/>
            </w:pPr>
            <w:r>
              <w:rPr>
                <w:b/>
                <w:color w:val="FFFFFF"/>
                <w:sz w:val="18"/>
              </w:rPr>
              <w:t>Decile</w:t>
            </w:r>
          </w:p>
        </w:tc>
        <w:tc>
          <w:tcPr>
            <w:tcW w:type="dxa" w:w="1234"/>
            <w:shd w:val="clear" w:color="auto" w:fill="1F4E79"/>
          </w:tcPr>
          <w:p>
            <w:pPr>
              <w:jc w:val="center"/>
            </w:pPr>
            <w:r>
              <w:rPr>
                <w:b/>
                <w:color w:val="FFFFFF"/>
                <w:sz w:val="18"/>
              </w:rPr>
              <w:t>Accounts</w:t>
            </w:r>
          </w:p>
        </w:tc>
        <w:tc>
          <w:tcPr>
            <w:tcW w:type="dxa" w:w="1234"/>
            <w:shd w:val="clear" w:color="auto" w:fill="1F4E79"/>
          </w:tcPr>
          <w:p>
            <w:pPr>
              <w:jc w:val="center"/>
            </w:pPr>
            <w:r>
              <w:rPr>
                <w:b/>
                <w:color w:val="FFFFFF"/>
                <w:sz w:val="18"/>
              </w:rPr>
              <w:t>Defaults</w:t>
            </w:r>
          </w:p>
        </w:tc>
        <w:tc>
          <w:tcPr>
            <w:tcW w:type="dxa" w:w="1234"/>
            <w:shd w:val="clear" w:color="auto" w:fill="1F4E79"/>
          </w:tcPr>
          <w:p>
            <w:pPr>
              <w:jc w:val="center"/>
            </w:pPr>
            <w:r>
              <w:rPr>
                <w:b/>
                <w:color w:val="FFFFFF"/>
                <w:sz w:val="18"/>
              </w:rPr>
              <w:t>Default Rate</w:t>
            </w:r>
          </w:p>
        </w:tc>
        <w:tc>
          <w:tcPr>
            <w:tcW w:type="dxa" w:w="1234"/>
            <w:shd w:val="clear" w:color="auto" w:fill="1F4E79"/>
          </w:tcPr>
          <w:p>
            <w:pPr>
              <w:jc w:val="center"/>
            </w:pPr>
            <w:r>
              <w:rPr>
                <w:b/>
                <w:color w:val="FFFFFF"/>
                <w:sz w:val="18"/>
              </w:rPr>
              <w:t>Lift</w:t>
            </w:r>
          </w:p>
        </w:tc>
        <w:tc>
          <w:tcPr>
            <w:tcW w:type="dxa" w:w="1234"/>
            <w:shd w:val="clear" w:color="auto" w:fill="1F4E79"/>
          </w:tcPr>
          <w:p>
            <w:pPr>
              <w:jc w:val="center"/>
            </w:pPr>
            <w:r>
              <w:rPr>
                <w:b/>
                <w:color w:val="FFFFFF"/>
                <w:sz w:val="18"/>
              </w:rPr>
              <w:t>Cum. Lift</w:t>
            </w:r>
          </w:p>
        </w:tc>
        <w:tc>
          <w:tcPr>
            <w:tcW w:type="dxa" w:w="1234"/>
            <w:shd w:val="clear" w:color="auto" w:fill="1F4E79"/>
          </w:tcPr>
          <w:p>
            <w:pPr>
              <w:jc w:val="center"/>
            </w:pPr>
            <w:r>
              <w:rPr>
                <w:b/>
                <w:color w:val="FFFFFF"/>
                <w:sz w:val="18"/>
              </w:rPr>
              <w:t>Capture</w:t>
            </w:r>
          </w:p>
        </w:tc>
      </w:tr>
      <w:tr>
        <w:tc>
          <w:tcPr>
            <w:tcW w:type="dxa" w:w="1234"/>
          </w:tcPr>
          <w:p>
            <w:pPr>
              <w:jc w:val="center"/>
            </w:pPr>
            <w:r>
              <w:rPr>
                <w:sz w:val="18"/>
              </w:rPr>
              <w:t>1</w:t>
            </w:r>
          </w:p>
        </w:tc>
        <w:tc>
          <w:tcPr>
            <w:tcW w:type="dxa" w:w="1234"/>
          </w:tcPr>
          <w:p>
            <w:pPr>
              <w:jc w:val="center"/>
            </w:pPr>
            <w:r>
              <w:rPr>
                <w:sz w:val="18"/>
              </w:rPr>
              <w:t>1,610</w:t>
            </w:r>
          </w:p>
        </w:tc>
        <w:tc>
          <w:tcPr>
            <w:tcW w:type="dxa" w:w="1234"/>
          </w:tcPr>
          <w:p>
            <w:pPr>
              <w:jc w:val="center"/>
            </w:pPr>
            <w:r>
              <w:rPr>
                <w:sz w:val="18"/>
              </w:rPr>
              <w:t>124</w:t>
            </w:r>
          </w:p>
        </w:tc>
        <w:tc>
          <w:tcPr>
            <w:tcW w:type="dxa" w:w="1234"/>
          </w:tcPr>
          <w:p>
            <w:pPr>
              <w:jc w:val="center"/>
            </w:pPr>
            <w:r>
              <w:rPr>
                <w:sz w:val="18"/>
              </w:rPr>
              <w:t>7.7%</w:t>
            </w:r>
          </w:p>
        </w:tc>
        <w:tc>
          <w:tcPr>
            <w:tcW w:type="dxa" w:w="1234"/>
          </w:tcPr>
          <w:p>
            <w:pPr>
              <w:jc w:val="center"/>
            </w:pPr>
            <w:r>
              <w:rPr>
                <w:sz w:val="18"/>
              </w:rPr>
              <w:t>2.03x</w:t>
            </w:r>
          </w:p>
        </w:tc>
        <w:tc>
          <w:tcPr>
            <w:tcW w:type="dxa" w:w="1234"/>
          </w:tcPr>
          <w:p>
            <w:pPr>
              <w:jc w:val="center"/>
            </w:pPr>
            <w:r>
              <w:rPr>
                <w:sz w:val="18"/>
              </w:rPr>
              <w:t>2.03x</w:t>
            </w:r>
          </w:p>
        </w:tc>
        <w:tc>
          <w:tcPr>
            <w:tcW w:type="dxa" w:w="1234"/>
          </w:tcPr>
          <w:p>
            <w:pPr>
              <w:jc w:val="center"/>
            </w:pPr>
            <w:r>
              <w:rPr>
                <w:sz w:val="18"/>
              </w:rPr>
              <w:t>20.3%</w:t>
            </w:r>
          </w:p>
        </w:tc>
      </w:tr>
      <w:tr>
        <w:tc>
          <w:tcPr>
            <w:tcW w:type="dxa" w:w="1234"/>
          </w:tcPr>
          <w:p>
            <w:pPr>
              <w:jc w:val="center"/>
            </w:pPr>
            <w:r>
              <w:rPr>
                <w:sz w:val="18"/>
              </w:rPr>
              <w:t>2</w:t>
            </w:r>
          </w:p>
        </w:tc>
        <w:tc>
          <w:tcPr>
            <w:tcW w:type="dxa" w:w="1234"/>
          </w:tcPr>
          <w:p>
            <w:pPr>
              <w:jc w:val="center"/>
            </w:pPr>
            <w:r>
              <w:rPr>
                <w:sz w:val="18"/>
              </w:rPr>
              <w:t>1,610</w:t>
            </w:r>
          </w:p>
        </w:tc>
        <w:tc>
          <w:tcPr>
            <w:tcW w:type="dxa" w:w="1234"/>
          </w:tcPr>
          <w:p>
            <w:pPr>
              <w:jc w:val="center"/>
            </w:pPr>
            <w:r>
              <w:rPr>
                <w:sz w:val="18"/>
              </w:rPr>
              <w:t>109</w:t>
            </w:r>
          </w:p>
        </w:tc>
        <w:tc>
          <w:tcPr>
            <w:tcW w:type="dxa" w:w="1234"/>
          </w:tcPr>
          <w:p>
            <w:pPr>
              <w:jc w:val="center"/>
            </w:pPr>
            <w:r>
              <w:rPr>
                <w:sz w:val="18"/>
              </w:rPr>
              <w:t>6.8%</w:t>
            </w:r>
          </w:p>
        </w:tc>
        <w:tc>
          <w:tcPr>
            <w:tcW w:type="dxa" w:w="1234"/>
          </w:tcPr>
          <w:p>
            <w:pPr>
              <w:jc w:val="center"/>
            </w:pPr>
            <w:r>
              <w:rPr>
                <w:sz w:val="18"/>
              </w:rPr>
              <w:t>1.78x</w:t>
            </w:r>
          </w:p>
        </w:tc>
        <w:tc>
          <w:tcPr>
            <w:tcW w:type="dxa" w:w="1234"/>
          </w:tcPr>
          <w:p>
            <w:pPr>
              <w:jc w:val="center"/>
            </w:pPr>
            <w:r>
              <w:rPr>
                <w:sz w:val="18"/>
              </w:rPr>
              <w:t>1.91x</w:t>
            </w:r>
          </w:p>
        </w:tc>
        <w:tc>
          <w:tcPr>
            <w:tcW w:type="dxa" w:w="1234"/>
          </w:tcPr>
          <w:p>
            <w:pPr>
              <w:jc w:val="center"/>
            </w:pPr>
            <w:r>
              <w:rPr>
                <w:sz w:val="18"/>
              </w:rPr>
              <w:t>38.1%</w:t>
            </w:r>
          </w:p>
        </w:tc>
      </w:tr>
      <w:tr>
        <w:tc>
          <w:tcPr>
            <w:tcW w:type="dxa" w:w="1234"/>
          </w:tcPr>
          <w:p>
            <w:pPr>
              <w:jc w:val="center"/>
            </w:pPr>
            <w:r>
              <w:rPr>
                <w:sz w:val="18"/>
              </w:rPr>
              <w:t>3</w:t>
            </w:r>
          </w:p>
        </w:tc>
        <w:tc>
          <w:tcPr>
            <w:tcW w:type="dxa" w:w="1234"/>
          </w:tcPr>
          <w:p>
            <w:pPr>
              <w:jc w:val="center"/>
            </w:pPr>
            <w:r>
              <w:rPr>
                <w:sz w:val="18"/>
              </w:rPr>
              <w:t>1,610</w:t>
            </w:r>
          </w:p>
        </w:tc>
        <w:tc>
          <w:tcPr>
            <w:tcW w:type="dxa" w:w="1234"/>
          </w:tcPr>
          <w:p>
            <w:pPr>
              <w:jc w:val="center"/>
            </w:pPr>
            <w:r>
              <w:rPr>
                <w:sz w:val="18"/>
              </w:rPr>
              <w:t>76</w:t>
            </w:r>
          </w:p>
        </w:tc>
        <w:tc>
          <w:tcPr>
            <w:tcW w:type="dxa" w:w="1234"/>
          </w:tcPr>
          <w:p>
            <w:pPr>
              <w:jc w:val="center"/>
            </w:pPr>
            <w:r>
              <w:rPr>
                <w:sz w:val="18"/>
              </w:rPr>
              <w:t>4.7%</w:t>
            </w:r>
          </w:p>
        </w:tc>
        <w:tc>
          <w:tcPr>
            <w:tcW w:type="dxa" w:w="1234"/>
          </w:tcPr>
          <w:p>
            <w:pPr>
              <w:jc w:val="center"/>
            </w:pPr>
            <w:r>
              <w:rPr>
                <w:sz w:val="18"/>
              </w:rPr>
              <w:t>1.24x</w:t>
            </w:r>
          </w:p>
        </w:tc>
        <w:tc>
          <w:tcPr>
            <w:tcW w:type="dxa" w:w="1234"/>
          </w:tcPr>
          <w:p>
            <w:pPr>
              <w:jc w:val="center"/>
            </w:pPr>
            <w:r>
              <w:rPr>
                <w:sz w:val="18"/>
              </w:rPr>
              <w:t>1.69x</w:t>
            </w:r>
          </w:p>
        </w:tc>
        <w:tc>
          <w:tcPr>
            <w:tcW w:type="dxa" w:w="1234"/>
          </w:tcPr>
          <w:p>
            <w:pPr>
              <w:jc w:val="center"/>
            </w:pPr>
            <w:r>
              <w:rPr>
                <w:sz w:val="18"/>
              </w:rPr>
              <w:t>50.6%</w:t>
            </w:r>
          </w:p>
        </w:tc>
      </w:tr>
      <w:tr>
        <w:tc>
          <w:tcPr>
            <w:tcW w:type="dxa" w:w="1234"/>
          </w:tcPr>
          <w:p>
            <w:pPr>
              <w:jc w:val="center"/>
            </w:pPr>
            <w:r>
              <w:rPr>
                <w:sz w:val="18"/>
              </w:rPr>
              <w:t>4</w:t>
            </w:r>
          </w:p>
        </w:tc>
        <w:tc>
          <w:tcPr>
            <w:tcW w:type="dxa" w:w="1234"/>
          </w:tcPr>
          <w:p>
            <w:pPr>
              <w:jc w:val="center"/>
            </w:pPr>
            <w:r>
              <w:rPr>
                <w:sz w:val="18"/>
              </w:rPr>
              <w:t>1,610</w:t>
            </w:r>
          </w:p>
        </w:tc>
        <w:tc>
          <w:tcPr>
            <w:tcW w:type="dxa" w:w="1234"/>
          </w:tcPr>
          <w:p>
            <w:pPr>
              <w:jc w:val="center"/>
            </w:pPr>
            <w:r>
              <w:rPr>
                <w:sz w:val="18"/>
              </w:rPr>
              <w:t>78</w:t>
            </w:r>
          </w:p>
        </w:tc>
        <w:tc>
          <w:tcPr>
            <w:tcW w:type="dxa" w:w="1234"/>
          </w:tcPr>
          <w:p>
            <w:pPr>
              <w:jc w:val="center"/>
            </w:pPr>
            <w:r>
              <w:rPr>
                <w:sz w:val="18"/>
              </w:rPr>
              <w:t>4.8%</w:t>
            </w:r>
          </w:p>
        </w:tc>
        <w:tc>
          <w:tcPr>
            <w:tcW w:type="dxa" w:w="1234"/>
          </w:tcPr>
          <w:p>
            <w:pPr>
              <w:jc w:val="center"/>
            </w:pPr>
            <w:r>
              <w:rPr>
                <w:sz w:val="18"/>
              </w:rPr>
              <w:t>1.28x</w:t>
            </w:r>
          </w:p>
        </w:tc>
        <w:tc>
          <w:tcPr>
            <w:tcW w:type="dxa" w:w="1234"/>
          </w:tcPr>
          <w:p>
            <w:pPr>
              <w:jc w:val="center"/>
            </w:pPr>
            <w:r>
              <w:rPr>
                <w:sz w:val="18"/>
              </w:rPr>
              <w:t>1.58x</w:t>
            </w:r>
          </w:p>
        </w:tc>
        <w:tc>
          <w:tcPr>
            <w:tcW w:type="dxa" w:w="1234"/>
          </w:tcPr>
          <w:p>
            <w:pPr>
              <w:jc w:val="center"/>
            </w:pPr>
            <w:r>
              <w:rPr>
                <w:sz w:val="18"/>
              </w:rPr>
              <w:t>63.3%</w:t>
            </w:r>
          </w:p>
        </w:tc>
      </w:tr>
      <w:tr>
        <w:tc>
          <w:tcPr>
            <w:tcW w:type="dxa" w:w="1234"/>
          </w:tcPr>
          <w:p>
            <w:pPr>
              <w:jc w:val="center"/>
            </w:pPr>
            <w:r>
              <w:rPr>
                <w:sz w:val="18"/>
              </w:rPr>
              <w:t>5</w:t>
            </w:r>
          </w:p>
        </w:tc>
        <w:tc>
          <w:tcPr>
            <w:tcW w:type="dxa" w:w="1234"/>
          </w:tcPr>
          <w:p>
            <w:pPr>
              <w:jc w:val="center"/>
            </w:pPr>
            <w:r>
              <w:rPr>
                <w:sz w:val="18"/>
              </w:rPr>
              <w:t>1,610</w:t>
            </w:r>
          </w:p>
        </w:tc>
        <w:tc>
          <w:tcPr>
            <w:tcW w:type="dxa" w:w="1234"/>
          </w:tcPr>
          <w:p>
            <w:pPr>
              <w:jc w:val="center"/>
            </w:pPr>
            <w:r>
              <w:rPr>
                <w:sz w:val="18"/>
              </w:rPr>
              <w:t>63</w:t>
            </w:r>
          </w:p>
        </w:tc>
        <w:tc>
          <w:tcPr>
            <w:tcW w:type="dxa" w:w="1234"/>
          </w:tcPr>
          <w:p>
            <w:pPr>
              <w:jc w:val="center"/>
            </w:pPr>
            <w:r>
              <w:rPr>
                <w:sz w:val="18"/>
              </w:rPr>
              <w:t>3.9%</w:t>
            </w:r>
          </w:p>
        </w:tc>
        <w:tc>
          <w:tcPr>
            <w:tcW w:type="dxa" w:w="1234"/>
          </w:tcPr>
          <w:p>
            <w:pPr>
              <w:jc w:val="center"/>
            </w:pPr>
            <w:r>
              <w:rPr>
                <w:sz w:val="18"/>
              </w:rPr>
              <w:t>1.03x</w:t>
            </w:r>
          </w:p>
        </w:tc>
        <w:tc>
          <w:tcPr>
            <w:tcW w:type="dxa" w:w="1234"/>
          </w:tcPr>
          <w:p>
            <w:pPr>
              <w:jc w:val="center"/>
            </w:pPr>
            <w:r>
              <w:rPr>
                <w:sz w:val="18"/>
              </w:rPr>
              <w:t>1.47x</w:t>
            </w:r>
          </w:p>
        </w:tc>
        <w:tc>
          <w:tcPr>
            <w:tcW w:type="dxa" w:w="1234"/>
          </w:tcPr>
          <w:p>
            <w:pPr>
              <w:jc w:val="center"/>
            </w:pPr>
            <w:r>
              <w:rPr>
                <w:sz w:val="18"/>
              </w:rPr>
              <w:t>73.6%</w:t>
            </w:r>
          </w:p>
        </w:tc>
      </w:tr>
      <w:tr>
        <w:tc>
          <w:tcPr>
            <w:tcW w:type="dxa" w:w="1234"/>
          </w:tcPr>
          <w:p>
            <w:pPr>
              <w:jc w:val="center"/>
            </w:pPr>
            <w:r>
              <w:rPr>
                <w:sz w:val="18"/>
              </w:rPr>
              <w:t>6</w:t>
            </w:r>
          </w:p>
        </w:tc>
        <w:tc>
          <w:tcPr>
            <w:tcW w:type="dxa" w:w="1234"/>
          </w:tcPr>
          <w:p>
            <w:pPr>
              <w:jc w:val="center"/>
            </w:pPr>
            <w:r>
              <w:rPr>
                <w:sz w:val="18"/>
              </w:rPr>
              <w:t>1,610</w:t>
            </w:r>
          </w:p>
        </w:tc>
        <w:tc>
          <w:tcPr>
            <w:tcW w:type="dxa" w:w="1234"/>
          </w:tcPr>
          <w:p>
            <w:pPr>
              <w:jc w:val="center"/>
            </w:pPr>
            <w:r>
              <w:rPr>
                <w:sz w:val="18"/>
              </w:rPr>
              <w:t>57</w:t>
            </w:r>
          </w:p>
        </w:tc>
        <w:tc>
          <w:tcPr>
            <w:tcW w:type="dxa" w:w="1234"/>
          </w:tcPr>
          <w:p>
            <w:pPr>
              <w:jc w:val="center"/>
            </w:pPr>
            <w:r>
              <w:rPr>
                <w:sz w:val="18"/>
              </w:rPr>
              <w:t>3.5%</w:t>
            </w:r>
          </w:p>
        </w:tc>
        <w:tc>
          <w:tcPr>
            <w:tcW w:type="dxa" w:w="1234"/>
          </w:tcPr>
          <w:p>
            <w:pPr>
              <w:jc w:val="center"/>
            </w:pPr>
            <w:r>
              <w:rPr>
                <w:sz w:val="18"/>
              </w:rPr>
              <w:t>0.93x</w:t>
            </w:r>
          </w:p>
        </w:tc>
        <w:tc>
          <w:tcPr>
            <w:tcW w:type="dxa" w:w="1234"/>
          </w:tcPr>
          <w:p>
            <w:pPr>
              <w:jc w:val="center"/>
            </w:pPr>
            <w:r>
              <w:rPr>
                <w:sz w:val="18"/>
              </w:rPr>
              <w:t>1.38x</w:t>
            </w:r>
          </w:p>
        </w:tc>
        <w:tc>
          <w:tcPr>
            <w:tcW w:type="dxa" w:w="1234"/>
          </w:tcPr>
          <w:p>
            <w:pPr>
              <w:jc w:val="center"/>
            </w:pPr>
            <w:r>
              <w:rPr>
                <w:sz w:val="18"/>
              </w:rPr>
              <w:t>83.0%</w:t>
            </w:r>
          </w:p>
        </w:tc>
      </w:tr>
      <w:tr>
        <w:tc>
          <w:tcPr>
            <w:tcW w:type="dxa" w:w="1234"/>
          </w:tcPr>
          <w:p>
            <w:pPr>
              <w:jc w:val="center"/>
            </w:pPr>
            <w:r>
              <w:rPr>
                <w:sz w:val="18"/>
              </w:rPr>
              <w:t>7</w:t>
            </w:r>
          </w:p>
        </w:tc>
        <w:tc>
          <w:tcPr>
            <w:tcW w:type="dxa" w:w="1234"/>
          </w:tcPr>
          <w:p>
            <w:pPr>
              <w:jc w:val="center"/>
            </w:pPr>
            <w:r>
              <w:rPr>
                <w:sz w:val="18"/>
              </w:rPr>
              <w:t>1,610</w:t>
            </w:r>
          </w:p>
        </w:tc>
        <w:tc>
          <w:tcPr>
            <w:tcW w:type="dxa" w:w="1234"/>
          </w:tcPr>
          <w:p>
            <w:pPr>
              <w:jc w:val="center"/>
            </w:pPr>
            <w:r>
              <w:rPr>
                <w:sz w:val="18"/>
              </w:rPr>
              <w:t>40</w:t>
            </w:r>
          </w:p>
        </w:tc>
        <w:tc>
          <w:tcPr>
            <w:tcW w:type="dxa" w:w="1234"/>
          </w:tcPr>
          <w:p>
            <w:pPr>
              <w:jc w:val="center"/>
            </w:pPr>
            <w:r>
              <w:rPr>
                <w:sz w:val="18"/>
              </w:rPr>
              <w:t>2.5%</w:t>
            </w:r>
          </w:p>
        </w:tc>
        <w:tc>
          <w:tcPr>
            <w:tcW w:type="dxa" w:w="1234"/>
          </w:tcPr>
          <w:p>
            <w:pPr>
              <w:jc w:val="center"/>
            </w:pPr>
            <w:r>
              <w:rPr>
                <w:sz w:val="18"/>
              </w:rPr>
              <w:t>0.66x</w:t>
            </w:r>
          </w:p>
        </w:tc>
        <w:tc>
          <w:tcPr>
            <w:tcW w:type="dxa" w:w="1234"/>
          </w:tcPr>
          <w:p>
            <w:pPr>
              <w:jc w:val="center"/>
            </w:pPr>
            <w:r>
              <w:rPr>
                <w:sz w:val="18"/>
              </w:rPr>
              <w:t>1.28x</w:t>
            </w:r>
          </w:p>
        </w:tc>
        <w:tc>
          <w:tcPr>
            <w:tcW w:type="dxa" w:w="1234"/>
          </w:tcPr>
          <w:p>
            <w:pPr>
              <w:jc w:val="center"/>
            </w:pPr>
            <w:r>
              <w:rPr>
                <w:sz w:val="18"/>
              </w:rPr>
              <w:t>89.5%</w:t>
            </w:r>
          </w:p>
        </w:tc>
      </w:tr>
      <w:tr>
        <w:tc>
          <w:tcPr>
            <w:tcW w:type="dxa" w:w="1234"/>
          </w:tcPr>
          <w:p>
            <w:pPr>
              <w:jc w:val="center"/>
            </w:pPr>
            <w:r>
              <w:rPr>
                <w:sz w:val="18"/>
              </w:rPr>
              <w:t>8</w:t>
            </w:r>
          </w:p>
        </w:tc>
        <w:tc>
          <w:tcPr>
            <w:tcW w:type="dxa" w:w="1234"/>
          </w:tcPr>
          <w:p>
            <w:pPr>
              <w:jc w:val="center"/>
            </w:pPr>
            <w:r>
              <w:rPr>
                <w:sz w:val="18"/>
              </w:rPr>
              <w:t>1,610</w:t>
            </w:r>
          </w:p>
        </w:tc>
        <w:tc>
          <w:tcPr>
            <w:tcW w:type="dxa" w:w="1234"/>
          </w:tcPr>
          <w:p>
            <w:pPr>
              <w:jc w:val="center"/>
            </w:pPr>
            <w:r>
              <w:rPr>
                <w:sz w:val="18"/>
              </w:rPr>
              <w:t>23</w:t>
            </w:r>
          </w:p>
        </w:tc>
        <w:tc>
          <w:tcPr>
            <w:tcW w:type="dxa" w:w="1234"/>
          </w:tcPr>
          <w:p>
            <w:pPr>
              <w:jc w:val="center"/>
            </w:pPr>
            <w:r>
              <w:rPr>
                <w:sz w:val="18"/>
              </w:rPr>
              <w:t>1.4%</w:t>
            </w:r>
          </w:p>
        </w:tc>
        <w:tc>
          <w:tcPr>
            <w:tcW w:type="dxa" w:w="1234"/>
          </w:tcPr>
          <w:p>
            <w:pPr>
              <w:jc w:val="center"/>
            </w:pPr>
            <w:r>
              <w:rPr>
                <w:sz w:val="18"/>
              </w:rPr>
              <w:t>0.38x</w:t>
            </w:r>
          </w:p>
        </w:tc>
        <w:tc>
          <w:tcPr>
            <w:tcW w:type="dxa" w:w="1234"/>
          </w:tcPr>
          <w:p>
            <w:pPr>
              <w:jc w:val="center"/>
            </w:pPr>
            <w:r>
              <w:rPr>
                <w:sz w:val="18"/>
              </w:rPr>
              <w:t>1.17x</w:t>
            </w:r>
          </w:p>
        </w:tc>
        <w:tc>
          <w:tcPr>
            <w:tcW w:type="dxa" w:w="1234"/>
          </w:tcPr>
          <w:p>
            <w:pPr>
              <w:jc w:val="center"/>
            </w:pPr>
            <w:r>
              <w:rPr>
                <w:sz w:val="18"/>
              </w:rPr>
              <w:t>93.3%</w:t>
            </w:r>
          </w:p>
        </w:tc>
      </w:tr>
      <w:tr>
        <w:tc>
          <w:tcPr>
            <w:tcW w:type="dxa" w:w="1234"/>
          </w:tcPr>
          <w:p>
            <w:pPr>
              <w:jc w:val="center"/>
            </w:pPr>
            <w:r>
              <w:rPr>
                <w:sz w:val="18"/>
              </w:rPr>
              <w:t>9</w:t>
            </w:r>
          </w:p>
        </w:tc>
        <w:tc>
          <w:tcPr>
            <w:tcW w:type="dxa" w:w="1234"/>
          </w:tcPr>
          <w:p>
            <w:pPr>
              <w:jc w:val="center"/>
            </w:pPr>
            <w:r>
              <w:rPr>
                <w:sz w:val="18"/>
              </w:rPr>
              <w:t>1,610</w:t>
            </w:r>
          </w:p>
        </w:tc>
        <w:tc>
          <w:tcPr>
            <w:tcW w:type="dxa" w:w="1234"/>
          </w:tcPr>
          <w:p>
            <w:pPr>
              <w:jc w:val="center"/>
            </w:pPr>
            <w:r>
              <w:rPr>
                <w:sz w:val="18"/>
              </w:rPr>
              <w:t>26</w:t>
            </w:r>
          </w:p>
        </w:tc>
        <w:tc>
          <w:tcPr>
            <w:tcW w:type="dxa" w:w="1234"/>
          </w:tcPr>
          <w:p>
            <w:pPr>
              <w:jc w:val="center"/>
            </w:pPr>
            <w:r>
              <w:rPr>
                <w:sz w:val="18"/>
              </w:rPr>
              <w:t>1.6%</w:t>
            </w:r>
          </w:p>
        </w:tc>
        <w:tc>
          <w:tcPr>
            <w:tcW w:type="dxa" w:w="1234"/>
          </w:tcPr>
          <w:p>
            <w:pPr>
              <w:jc w:val="center"/>
            </w:pPr>
            <w:r>
              <w:rPr>
                <w:sz w:val="18"/>
              </w:rPr>
              <w:t>0.43x</w:t>
            </w:r>
          </w:p>
        </w:tc>
        <w:tc>
          <w:tcPr>
            <w:tcW w:type="dxa" w:w="1234"/>
          </w:tcPr>
          <w:p>
            <w:pPr>
              <w:jc w:val="center"/>
            </w:pPr>
            <w:r>
              <w:rPr>
                <w:sz w:val="18"/>
              </w:rPr>
              <w:t>1.08x</w:t>
            </w:r>
          </w:p>
        </w:tc>
        <w:tc>
          <w:tcPr>
            <w:tcW w:type="dxa" w:w="1234"/>
          </w:tcPr>
          <w:p>
            <w:pPr>
              <w:jc w:val="center"/>
            </w:pPr>
            <w:r>
              <w:rPr>
                <w:sz w:val="18"/>
              </w:rPr>
              <w:t>97.5%</w:t>
            </w:r>
          </w:p>
        </w:tc>
      </w:tr>
      <w:tr>
        <w:tc>
          <w:tcPr>
            <w:tcW w:type="dxa" w:w="1234"/>
          </w:tcPr>
          <w:p>
            <w:pPr>
              <w:jc w:val="center"/>
            </w:pPr>
            <w:r>
              <w:rPr>
                <w:sz w:val="18"/>
              </w:rPr>
              <w:t>10</w:t>
            </w:r>
          </w:p>
        </w:tc>
        <w:tc>
          <w:tcPr>
            <w:tcW w:type="dxa" w:w="1234"/>
          </w:tcPr>
          <w:p>
            <w:pPr>
              <w:jc w:val="center"/>
            </w:pPr>
            <w:r>
              <w:rPr>
                <w:sz w:val="18"/>
              </w:rPr>
              <w:t>1,619</w:t>
            </w:r>
          </w:p>
        </w:tc>
        <w:tc>
          <w:tcPr>
            <w:tcW w:type="dxa" w:w="1234"/>
          </w:tcPr>
          <w:p>
            <w:pPr>
              <w:jc w:val="center"/>
            </w:pPr>
            <w:r>
              <w:rPr>
                <w:sz w:val="18"/>
              </w:rPr>
              <w:t>15</w:t>
            </w:r>
          </w:p>
        </w:tc>
        <w:tc>
          <w:tcPr>
            <w:tcW w:type="dxa" w:w="1234"/>
          </w:tcPr>
          <w:p>
            <w:pPr>
              <w:jc w:val="center"/>
            </w:pPr>
            <w:r>
              <w:rPr>
                <w:sz w:val="18"/>
              </w:rPr>
              <w:t>0.9%</w:t>
            </w:r>
          </w:p>
        </w:tc>
        <w:tc>
          <w:tcPr>
            <w:tcW w:type="dxa" w:w="1234"/>
          </w:tcPr>
          <w:p>
            <w:pPr>
              <w:jc w:val="center"/>
            </w:pPr>
            <w:r>
              <w:rPr>
                <w:sz w:val="18"/>
              </w:rPr>
              <w:t>0.24x</w:t>
            </w:r>
          </w:p>
        </w:tc>
        <w:tc>
          <w:tcPr>
            <w:tcW w:type="dxa" w:w="1234"/>
          </w:tcPr>
          <w:p>
            <w:pPr>
              <w:jc w:val="center"/>
            </w:pPr>
            <w:r>
              <w:rPr>
                <w:sz w:val="18"/>
              </w:rPr>
              <w:t>1.00x</w:t>
            </w:r>
          </w:p>
        </w:tc>
        <w:tc>
          <w:tcPr>
            <w:tcW w:type="dxa" w:w="1234"/>
          </w:tcPr>
          <w:p>
            <w:pPr>
              <w:jc w:val="center"/>
            </w:pPr>
            <w:r>
              <w:rPr>
                <w:sz w:val="18"/>
              </w:rPr>
              <w:t>100.0%</w:t>
            </w:r>
          </w:p>
        </w:tc>
      </w:tr>
    </w:tbl>
    <w:p/>
    <w:p>
      <w:r>
        <w:t>The riskiest decile has a 7.7% default rate versus 0.9% in the safest decile -- an 8:1 concentration ratio. The top two deciles capture 38.1% of all defaults.</w:t>
      </w:r>
    </w:p>
    <w:p>
      <w:pPr>
        <w:jc w:val="center"/>
      </w:pPr>
      <w:r>
        <w:drawing>
          <wp:inline xmlns:a="http://schemas.openxmlformats.org/drawingml/2006/main" xmlns:pic="http://schemas.openxmlformats.org/drawingml/2006/picture">
            <wp:extent cx="5029200" cy="2655894"/>
            <wp:docPr id="3" name="Picture 3"/>
            <wp:cNvGraphicFramePr>
              <a:graphicFrameLocks noChangeAspect="1"/>
            </wp:cNvGraphicFramePr>
            <a:graphic>
              <a:graphicData uri="http://schemas.openxmlformats.org/drawingml/2006/picture">
                <pic:pic>
                  <pic:nvPicPr>
                    <pic:cNvPr id="0" name="stakeholder_gains.png"/>
                    <pic:cNvPicPr/>
                  </pic:nvPicPr>
                  <pic:blipFill>
                    <a:blip r:embed="rId11"/>
                    <a:stretch>
                      <a:fillRect/>
                    </a:stretch>
                  </pic:blipFill>
                  <pic:spPr>
                    <a:xfrm>
                      <a:off x="0" y="0"/>
                      <a:ext cx="5029200" cy="2655894"/>
                    </a:xfrm>
                    <a:prstGeom prst="rect"/>
                  </pic:spPr>
                </pic:pic>
              </a:graphicData>
            </a:graphic>
          </wp:inline>
        </w:drawing>
      </w:r>
    </w:p>
    <w:p/>
    <w:p>
      <w:pPr>
        <w:pStyle w:val="Heading2"/>
      </w:pPr>
      <w:r>
        <w:t>5.2 Rejection Threshold Analysis</w:t>
      </w:r>
    </w:p>
    <w:p>
      <w:r>
        <w:t>The table below shows how many defaults are captured at various rejection thresholds. For example, rejecting the top 10% riskiest applicants captures a certain percentage of defaults while maintaining a 90% approval rate.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jc w:val="center"/>
            </w:pPr>
            <w:r>
              <w:rPr>
                <w:b/>
                <w:color w:val="FFFFFF"/>
                <w:sz w:val="18"/>
              </w:rPr>
              <w:t>Reject %</w:t>
            </w:r>
          </w:p>
        </w:tc>
        <w:tc>
          <w:tcPr>
            <w:tcW w:type="dxa" w:w="1728"/>
            <w:shd w:val="clear" w:color="auto" w:fill="1F4E79"/>
          </w:tcPr>
          <w:p>
            <w:pPr>
              <w:jc w:val="center"/>
            </w:pPr>
            <w:r>
              <w:rPr>
                <w:b/>
                <w:color w:val="FFFFFF"/>
                <w:sz w:val="18"/>
              </w:rPr>
              <w:t>Rejected</w:t>
            </w:r>
          </w:p>
        </w:tc>
        <w:tc>
          <w:tcPr>
            <w:tcW w:type="dxa" w:w="1728"/>
            <w:shd w:val="clear" w:color="auto" w:fill="1F4E79"/>
          </w:tcPr>
          <w:p>
            <w:pPr>
              <w:jc w:val="center"/>
            </w:pPr>
            <w:r>
              <w:rPr>
                <w:b/>
                <w:color w:val="FFFFFF"/>
                <w:sz w:val="18"/>
              </w:rPr>
              <w:t>Precision</w:t>
            </w:r>
          </w:p>
        </w:tc>
        <w:tc>
          <w:tcPr>
            <w:tcW w:type="dxa" w:w="1728"/>
            <w:shd w:val="clear" w:color="auto" w:fill="1F4E79"/>
          </w:tcPr>
          <w:p>
            <w:pPr>
              <w:jc w:val="center"/>
            </w:pPr>
            <w:r>
              <w:rPr>
                <w:b/>
                <w:color w:val="FFFFFF"/>
                <w:sz w:val="18"/>
              </w:rPr>
              <w:t>Recall</w:t>
            </w:r>
          </w:p>
        </w:tc>
        <w:tc>
          <w:tcPr>
            <w:tcW w:type="dxa" w:w="1728"/>
            <w:shd w:val="clear" w:color="auto" w:fill="1F4E79"/>
          </w:tcPr>
          <w:p>
            <w:pPr>
              <w:jc w:val="center"/>
            </w:pPr>
            <w:r>
              <w:rPr>
                <w:b/>
                <w:color w:val="FFFFFF"/>
                <w:sz w:val="18"/>
              </w:rPr>
              <w:t>Capture Rate</w:t>
            </w:r>
          </w:p>
        </w:tc>
      </w:tr>
      <w:tr>
        <w:tc>
          <w:tcPr>
            <w:tcW w:type="dxa" w:w="1728"/>
          </w:tcPr>
          <w:p>
            <w:pPr>
              <w:jc w:val="center"/>
            </w:pPr>
            <w:r>
              <w:rPr>
                <w:sz w:val="18"/>
              </w:rPr>
              <w:t>5%</w:t>
            </w:r>
          </w:p>
        </w:tc>
        <w:tc>
          <w:tcPr>
            <w:tcW w:type="dxa" w:w="1728"/>
          </w:tcPr>
          <w:p>
            <w:pPr>
              <w:jc w:val="center"/>
            </w:pPr>
            <w:r>
              <w:rPr>
                <w:sz w:val="18"/>
              </w:rPr>
              <w:t>807</w:t>
            </w:r>
          </w:p>
        </w:tc>
        <w:tc>
          <w:tcPr>
            <w:tcW w:type="dxa" w:w="1728"/>
          </w:tcPr>
          <w:p>
            <w:pPr>
              <w:jc w:val="center"/>
            </w:pPr>
            <w:r>
              <w:rPr>
                <w:sz w:val="18"/>
              </w:rPr>
              <w:t>8.2%</w:t>
            </w:r>
          </w:p>
        </w:tc>
        <w:tc>
          <w:tcPr>
            <w:tcW w:type="dxa" w:w="1728"/>
          </w:tcPr>
          <w:p>
            <w:pPr>
              <w:jc w:val="center"/>
            </w:pPr>
            <w:r>
              <w:rPr>
                <w:sz w:val="18"/>
              </w:rPr>
              <w:t>10.8%</w:t>
            </w:r>
          </w:p>
        </w:tc>
        <w:tc>
          <w:tcPr>
            <w:tcW w:type="dxa" w:w="1728"/>
          </w:tcPr>
          <w:p>
            <w:pPr>
              <w:jc w:val="center"/>
            </w:pPr>
            <w:r>
              <w:rPr>
                <w:sz w:val="18"/>
              </w:rPr>
              <w:t>10.8%</w:t>
            </w:r>
          </w:p>
        </w:tc>
      </w:tr>
      <w:tr>
        <w:tc>
          <w:tcPr>
            <w:tcW w:type="dxa" w:w="1728"/>
          </w:tcPr>
          <w:p>
            <w:pPr>
              <w:jc w:val="center"/>
            </w:pPr>
            <w:r>
              <w:rPr>
                <w:sz w:val="18"/>
              </w:rPr>
              <w:t>10%</w:t>
            </w:r>
          </w:p>
        </w:tc>
        <w:tc>
          <w:tcPr>
            <w:tcW w:type="dxa" w:w="1728"/>
          </w:tcPr>
          <w:p>
            <w:pPr>
              <w:jc w:val="center"/>
            </w:pPr>
            <w:r>
              <w:rPr>
                <w:sz w:val="18"/>
              </w:rPr>
              <w:t>1,612</w:t>
            </w:r>
          </w:p>
        </w:tc>
        <w:tc>
          <w:tcPr>
            <w:tcW w:type="dxa" w:w="1728"/>
          </w:tcPr>
          <w:p>
            <w:pPr>
              <w:jc w:val="center"/>
            </w:pPr>
            <w:r>
              <w:rPr>
                <w:sz w:val="18"/>
              </w:rPr>
              <w:t>7.7%</w:t>
            </w:r>
          </w:p>
        </w:tc>
        <w:tc>
          <w:tcPr>
            <w:tcW w:type="dxa" w:w="1728"/>
          </w:tcPr>
          <w:p>
            <w:pPr>
              <w:jc w:val="center"/>
            </w:pPr>
            <w:r>
              <w:rPr>
                <w:sz w:val="18"/>
              </w:rPr>
              <w:t>20.3%</w:t>
            </w:r>
          </w:p>
        </w:tc>
        <w:tc>
          <w:tcPr>
            <w:tcW w:type="dxa" w:w="1728"/>
          </w:tcPr>
          <w:p>
            <w:pPr>
              <w:jc w:val="center"/>
            </w:pPr>
            <w:r>
              <w:rPr>
                <w:sz w:val="18"/>
              </w:rPr>
              <w:t>20.3%</w:t>
            </w:r>
          </w:p>
        </w:tc>
      </w:tr>
      <w:tr>
        <w:tc>
          <w:tcPr>
            <w:tcW w:type="dxa" w:w="1728"/>
          </w:tcPr>
          <w:p>
            <w:pPr>
              <w:jc w:val="center"/>
            </w:pPr>
            <w:r>
              <w:rPr>
                <w:sz w:val="18"/>
              </w:rPr>
              <w:t>15%</w:t>
            </w:r>
          </w:p>
        </w:tc>
        <w:tc>
          <w:tcPr>
            <w:tcW w:type="dxa" w:w="1728"/>
          </w:tcPr>
          <w:p>
            <w:pPr>
              <w:jc w:val="center"/>
            </w:pPr>
            <w:r>
              <w:rPr>
                <w:sz w:val="18"/>
              </w:rPr>
              <w:t>2,418</w:t>
            </w:r>
          </w:p>
        </w:tc>
        <w:tc>
          <w:tcPr>
            <w:tcW w:type="dxa" w:w="1728"/>
          </w:tcPr>
          <w:p>
            <w:pPr>
              <w:jc w:val="center"/>
            </w:pPr>
            <w:r>
              <w:rPr>
                <w:sz w:val="18"/>
              </w:rPr>
              <w:t>7.6%</w:t>
            </w:r>
          </w:p>
        </w:tc>
        <w:tc>
          <w:tcPr>
            <w:tcW w:type="dxa" w:w="1728"/>
          </w:tcPr>
          <w:p>
            <w:pPr>
              <w:jc w:val="center"/>
            </w:pPr>
            <w:r>
              <w:rPr>
                <w:sz w:val="18"/>
              </w:rPr>
              <w:t>30.0%</w:t>
            </w:r>
          </w:p>
        </w:tc>
        <w:tc>
          <w:tcPr>
            <w:tcW w:type="dxa" w:w="1728"/>
          </w:tcPr>
          <w:p>
            <w:pPr>
              <w:jc w:val="center"/>
            </w:pPr>
            <w:r>
              <w:rPr>
                <w:sz w:val="18"/>
              </w:rPr>
              <w:t>30.0%</w:t>
            </w:r>
          </w:p>
        </w:tc>
      </w:tr>
      <w:tr>
        <w:tc>
          <w:tcPr>
            <w:tcW w:type="dxa" w:w="1728"/>
          </w:tcPr>
          <w:p>
            <w:pPr>
              <w:jc w:val="center"/>
            </w:pPr>
            <w:r>
              <w:rPr>
                <w:sz w:val="18"/>
              </w:rPr>
              <w:t>20%</w:t>
            </w:r>
          </w:p>
        </w:tc>
        <w:tc>
          <w:tcPr>
            <w:tcW w:type="dxa" w:w="1728"/>
          </w:tcPr>
          <w:p>
            <w:pPr>
              <w:jc w:val="center"/>
            </w:pPr>
            <w:r>
              <w:rPr>
                <w:sz w:val="18"/>
              </w:rPr>
              <w:t>3,223</w:t>
            </w:r>
          </w:p>
        </w:tc>
        <w:tc>
          <w:tcPr>
            <w:tcW w:type="dxa" w:w="1728"/>
          </w:tcPr>
          <w:p>
            <w:pPr>
              <w:jc w:val="center"/>
            </w:pPr>
            <w:r>
              <w:rPr>
                <w:sz w:val="18"/>
              </w:rPr>
              <w:t>7.2%</w:t>
            </w:r>
          </w:p>
        </w:tc>
        <w:tc>
          <w:tcPr>
            <w:tcW w:type="dxa" w:w="1728"/>
          </w:tcPr>
          <w:p>
            <w:pPr>
              <w:jc w:val="center"/>
            </w:pPr>
            <w:r>
              <w:rPr>
                <w:sz w:val="18"/>
              </w:rPr>
              <w:t>38.1%</w:t>
            </w:r>
          </w:p>
        </w:tc>
        <w:tc>
          <w:tcPr>
            <w:tcW w:type="dxa" w:w="1728"/>
          </w:tcPr>
          <w:p>
            <w:pPr>
              <w:jc w:val="center"/>
            </w:pPr>
            <w:r>
              <w:rPr>
                <w:sz w:val="18"/>
              </w:rPr>
              <w:t>38.1%</w:t>
            </w:r>
          </w:p>
        </w:tc>
      </w:tr>
      <w:tr>
        <w:tc>
          <w:tcPr>
            <w:tcW w:type="dxa" w:w="1728"/>
          </w:tcPr>
          <w:p>
            <w:pPr>
              <w:jc w:val="center"/>
            </w:pPr>
            <w:r>
              <w:rPr>
                <w:sz w:val="18"/>
              </w:rPr>
              <w:t>25%</w:t>
            </w:r>
          </w:p>
        </w:tc>
        <w:tc>
          <w:tcPr>
            <w:tcW w:type="dxa" w:w="1728"/>
          </w:tcPr>
          <w:p>
            <w:pPr>
              <w:jc w:val="center"/>
            </w:pPr>
            <w:r>
              <w:rPr>
                <w:sz w:val="18"/>
              </w:rPr>
              <w:t>4,029</w:t>
            </w:r>
          </w:p>
        </w:tc>
        <w:tc>
          <w:tcPr>
            <w:tcW w:type="dxa" w:w="1728"/>
          </w:tcPr>
          <w:p>
            <w:pPr>
              <w:jc w:val="center"/>
            </w:pPr>
            <w:r>
              <w:rPr>
                <w:sz w:val="18"/>
              </w:rPr>
              <w:t>6.9%</w:t>
            </w:r>
          </w:p>
        </w:tc>
        <w:tc>
          <w:tcPr>
            <w:tcW w:type="dxa" w:w="1728"/>
          </w:tcPr>
          <w:p>
            <w:pPr>
              <w:jc w:val="center"/>
            </w:pPr>
            <w:r>
              <w:rPr>
                <w:sz w:val="18"/>
              </w:rPr>
              <w:t>45.2%</w:t>
            </w:r>
          </w:p>
        </w:tc>
        <w:tc>
          <w:tcPr>
            <w:tcW w:type="dxa" w:w="1728"/>
          </w:tcPr>
          <w:p>
            <w:pPr>
              <w:jc w:val="center"/>
            </w:pPr>
            <w:r>
              <w:rPr>
                <w:sz w:val="18"/>
              </w:rPr>
              <w:t>45.2%</w:t>
            </w:r>
          </w:p>
        </w:tc>
      </w:tr>
      <w:tr>
        <w:tc>
          <w:tcPr>
            <w:tcW w:type="dxa" w:w="1728"/>
          </w:tcPr>
          <w:p>
            <w:pPr>
              <w:jc w:val="center"/>
            </w:pPr>
            <w:r>
              <w:rPr>
                <w:sz w:val="18"/>
              </w:rPr>
              <w:t>30%</w:t>
            </w:r>
          </w:p>
        </w:tc>
        <w:tc>
          <w:tcPr>
            <w:tcW w:type="dxa" w:w="1728"/>
          </w:tcPr>
          <w:p>
            <w:pPr>
              <w:jc w:val="center"/>
            </w:pPr>
            <w:r>
              <w:rPr>
                <w:sz w:val="18"/>
              </w:rPr>
              <w:t>4,834</w:t>
            </w:r>
          </w:p>
        </w:tc>
        <w:tc>
          <w:tcPr>
            <w:tcW w:type="dxa" w:w="1728"/>
          </w:tcPr>
          <w:p>
            <w:pPr>
              <w:jc w:val="center"/>
            </w:pPr>
            <w:r>
              <w:rPr>
                <w:sz w:val="18"/>
              </w:rPr>
              <w:t>6.4%</w:t>
            </w:r>
          </w:p>
        </w:tc>
        <w:tc>
          <w:tcPr>
            <w:tcW w:type="dxa" w:w="1728"/>
          </w:tcPr>
          <w:p>
            <w:pPr>
              <w:jc w:val="center"/>
            </w:pPr>
            <w:r>
              <w:rPr>
                <w:sz w:val="18"/>
              </w:rPr>
              <w:t>50.6%</w:t>
            </w:r>
          </w:p>
        </w:tc>
        <w:tc>
          <w:tcPr>
            <w:tcW w:type="dxa" w:w="1728"/>
          </w:tcPr>
          <w:p>
            <w:pPr>
              <w:jc w:val="center"/>
            </w:pPr>
            <w:r>
              <w:rPr>
                <w:sz w:val="18"/>
              </w:rPr>
              <w:t>50.6%</w:t>
            </w:r>
          </w:p>
        </w:tc>
      </w:tr>
    </w:tbl>
    <w:p/>
    <w:p>
      <w:pPr>
        <w:jc w:val="center"/>
      </w:pPr>
      <w:r>
        <w:drawing>
          <wp:inline xmlns:a="http://schemas.openxmlformats.org/drawingml/2006/main" xmlns:pic="http://schemas.openxmlformats.org/drawingml/2006/picture">
            <wp:extent cx="5029200" cy="2673969"/>
            <wp:docPr id="4" name="Picture 4"/>
            <wp:cNvGraphicFramePr>
              <a:graphicFrameLocks noChangeAspect="1"/>
            </wp:cNvGraphicFramePr>
            <a:graphic>
              <a:graphicData uri="http://schemas.openxmlformats.org/drawingml/2006/picture">
                <pic:pic>
                  <pic:nvPicPr>
                    <pic:cNvPr id="0" name="stakeholder_threshold_analysis.png"/>
                    <pic:cNvPicPr/>
                  </pic:nvPicPr>
                  <pic:blipFill>
                    <a:blip r:embed="rId12"/>
                    <a:stretch>
                      <a:fillRect/>
                    </a:stretch>
                  </pic:blipFill>
                  <pic:spPr>
                    <a:xfrm>
                      <a:off x="0" y="0"/>
                      <a:ext cx="5029200" cy="2673969"/>
                    </a:xfrm>
                    <a:prstGeom prst="rect"/>
                  </pic:spPr>
                </pic:pic>
              </a:graphicData>
            </a:graphic>
          </wp:inline>
        </w:drawing>
      </w:r>
    </w:p>
    <w:p/>
    <w:p>
      <w:pPr>
        <w:pStyle w:val="Heading1"/>
      </w:pPr>
      <w:r>
        <w:t>6. Calibration and Score Stability</w:t>
      </w:r>
    </w:p>
    <w:p>
      <w:pPr>
        <w:pStyle w:val="Heading2"/>
      </w:pPr>
      <w:r>
        <w:t>6.1 Score Distribution Stability (PSI)</w:t>
      </w:r>
    </w:p>
    <w:p>
      <w:r>
        <w:t>The Population Stability Index measures whether the model's score distribution has shifted between the training and test populations. PSI &lt; 0.10 indicates stable distributions; 0.10-0.25 indicates moderate drift; &gt; 0.25 indicates significant drift.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8"/>
              </w:rPr>
              <w:t>Model</w:t>
            </w:r>
          </w:p>
        </w:tc>
        <w:tc>
          <w:tcPr>
            <w:tcW w:type="dxa" w:w="2880"/>
            <w:shd w:val="clear" w:color="auto" w:fill="1F4E79"/>
          </w:tcPr>
          <w:p>
            <w:pPr>
              <w:jc w:val="center"/>
            </w:pPr>
            <w:r>
              <w:rPr>
                <w:b/>
                <w:color w:val="FFFFFF"/>
                <w:sz w:val="18"/>
              </w:rPr>
              <w:t>PSI</w:t>
            </w:r>
          </w:p>
        </w:tc>
        <w:tc>
          <w:tcPr>
            <w:tcW w:type="dxa" w:w="2880"/>
            <w:shd w:val="clear" w:color="auto" w:fill="1F4E79"/>
          </w:tcPr>
          <w:p>
            <w:pPr>
              <w:jc w:val="center"/>
            </w:pPr>
            <w:r>
              <w:rPr>
                <w:b/>
                <w:color w:val="FFFFFF"/>
                <w:sz w:val="18"/>
              </w:rPr>
              <w:t>Interpretation</w:t>
            </w:r>
          </w:p>
        </w:tc>
      </w:tr>
      <w:tr>
        <w:tc>
          <w:tcPr>
            <w:tcW w:type="dxa" w:w="2880"/>
          </w:tcPr>
          <w:p>
            <w:pPr>
              <w:jc w:val="center"/>
            </w:pPr>
            <w:r>
              <w:rPr>
                <w:sz w:val="18"/>
              </w:rPr>
              <w:t>Logistic Regression</w:t>
            </w:r>
          </w:p>
        </w:tc>
        <w:tc>
          <w:tcPr>
            <w:tcW w:type="dxa" w:w="2880"/>
          </w:tcPr>
          <w:p>
            <w:pPr>
              <w:jc w:val="center"/>
            </w:pPr>
            <w:r>
              <w:rPr>
                <w:sz w:val="18"/>
              </w:rPr>
              <w:t>0.0036</w:t>
            </w:r>
          </w:p>
        </w:tc>
        <w:tc>
          <w:tcPr>
            <w:tcW w:type="dxa" w:w="2880"/>
          </w:tcPr>
          <w:p>
            <w:pPr>
              <w:jc w:val="center"/>
            </w:pPr>
            <w:r>
              <w:rPr>
                <w:sz w:val="18"/>
              </w:rPr>
              <w:t>Stable</w:t>
            </w:r>
          </w:p>
        </w:tc>
      </w:tr>
      <w:tr>
        <w:tc>
          <w:tcPr>
            <w:tcW w:type="dxa" w:w="2880"/>
          </w:tcPr>
          <w:p>
            <w:pPr>
              <w:jc w:val="center"/>
            </w:pPr>
            <w:r>
              <w:rPr>
                <w:sz w:val="18"/>
              </w:rPr>
              <w:t>LightGBM</w:t>
            </w:r>
          </w:p>
        </w:tc>
        <w:tc>
          <w:tcPr>
            <w:tcW w:type="dxa" w:w="2880"/>
          </w:tcPr>
          <w:p>
            <w:pPr>
              <w:jc w:val="center"/>
            </w:pPr>
            <w:r>
              <w:rPr>
                <w:sz w:val="18"/>
              </w:rPr>
              <w:t>0.0126</w:t>
            </w:r>
          </w:p>
        </w:tc>
        <w:tc>
          <w:tcPr>
            <w:tcW w:type="dxa" w:w="2880"/>
          </w:tcPr>
          <w:p>
            <w:pPr>
              <w:jc w:val="center"/>
            </w:pPr>
            <w:r>
              <w:rPr>
                <w:sz w:val="18"/>
              </w:rPr>
              <w:t>Stable</w:t>
            </w:r>
          </w:p>
        </w:tc>
      </w:tr>
      <w:tr>
        <w:tc>
          <w:tcPr>
            <w:tcW w:type="dxa" w:w="2880"/>
          </w:tcPr>
          <w:p>
            <w:pPr>
              <w:jc w:val="center"/>
            </w:pPr>
            <w:r>
              <w:rPr>
                <w:sz w:val="18"/>
              </w:rPr>
              <w:t>XGBoost</w:t>
            </w:r>
          </w:p>
        </w:tc>
        <w:tc>
          <w:tcPr>
            <w:tcW w:type="dxa" w:w="2880"/>
          </w:tcPr>
          <w:p>
            <w:pPr>
              <w:jc w:val="center"/>
            </w:pPr>
            <w:r>
              <w:rPr>
                <w:sz w:val="18"/>
              </w:rPr>
              <w:t>0.0069</w:t>
            </w:r>
          </w:p>
        </w:tc>
        <w:tc>
          <w:tcPr>
            <w:tcW w:type="dxa" w:w="2880"/>
          </w:tcPr>
          <w:p>
            <w:pPr>
              <w:jc w:val="center"/>
            </w:pPr>
            <w:r>
              <w:rPr>
                <w:sz w:val="18"/>
              </w:rPr>
              <w:t>Stable</w:t>
            </w:r>
          </w:p>
        </w:tc>
      </w:tr>
      <w:tr>
        <w:tc>
          <w:tcPr>
            <w:tcW w:type="dxa" w:w="2880"/>
          </w:tcPr>
          <w:p>
            <w:pPr>
              <w:jc w:val="center"/>
            </w:pPr>
            <w:r>
              <w:rPr>
                <w:sz w:val="18"/>
              </w:rPr>
              <w:t>CatBoost</w:t>
            </w:r>
          </w:p>
        </w:tc>
        <w:tc>
          <w:tcPr>
            <w:tcW w:type="dxa" w:w="2880"/>
          </w:tcPr>
          <w:p>
            <w:pPr>
              <w:jc w:val="center"/>
            </w:pPr>
            <w:r>
              <w:rPr>
                <w:sz w:val="18"/>
              </w:rPr>
              <w:t>0.0102</w:t>
            </w:r>
          </w:p>
        </w:tc>
        <w:tc>
          <w:tcPr>
            <w:tcW w:type="dxa" w:w="2880"/>
          </w:tcPr>
          <w:p>
            <w:pPr>
              <w:jc w:val="center"/>
            </w:pPr>
            <w:r>
              <w:rPr>
                <w:sz w:val="18"/>
              </w:rPr>
              <w:t>Stable</w:t>
            </w:r>
          </w:p>
        </w:tc>
      </w:tr>
    </w:tbl>
    <w:p/>
    <w:p>
      <w:r>
        <w:t>All PSI values are far below 0.10, confirming that the score distributions are highly stable between development and test. This is expected given the short time span and stable lending environment across the evaluation period.</w:t>
      </w:r>
    </w:p>
    <w:p>
      <w:pPr>
        <w:jc w:val="center"/>
      </w:pPr>
      <w:r>
        <w:drawing>
          <wp:inline xmlns:a="http://schemas.openxmlformats.org/drawingml/2006/main" xmlns:pic="http://schemas.openxmlformats.org/drawingml/2006/picture">
            <wp:extent cx="5029200" cy="2048864"/>
            <wp:docPr id="5" name="Picture 5"/>
            <wp:cNvGraphicFramePr>
              <a:graphicFrameLocks noChangeAspect="1"/>
            </wp:cNvGraphicFramePr>
            <a:graphic>
              <a:graphicData uri="http://schemas.openxmlformats.org/drawingml/2006/picture">
                <pic:pic>
                  <pic:nvPicPr>
                    <pic:cNvPr id="0" name="stakeholder_calibration.png"/>
                    <pic:cNvPicPr/>
                  </pic:nvPicPr>
                  <pic:blipFill>
                    <a:blip r:embed="rId13"/>
                    <a:stretch>
                      <a:fillRect/>
                    </a:stretch>
                  </pic:blipFill>
                  <pic:spPr>
                    <a:xfrm>
                      <a:off x="0" y="0"/>
                      <a:ext cx="5029200" cy="2048864"/>
                    </a:xfrm>
                    <a:prstGeom prst="rect"/>
                  </pic:spPr>
                </pic:pic>
              </a:graphicData>
            </a:graphic>
          </wp:inline>
        </w:drawing>
      </w:r>
    </w:p>
    <w:p/>
    <w:p>
      <w:pPr>
        <w:jc w:val="center"/>
      </w:pPr>
      <w:r>
        <w:drawing>
          <wp:inline xmlns:a="http://schemas.openxmlformats.org/drawingml/2006/main" xmlns:pic="http://schemas.openxmlformats.org/drawingml/2006/picture">
            <wp:extent cx="5029200" cy="4645123"/>
            <wp:docPr id="6" name="Picture 6"/>
            <wp:cNvGraphicFramePr>
              <a:graphicFrameLocks noChangeAspect="1"/>
            </wp:cNvGraphicFramePr>
            <a:graphic>
              <a:graphicData uri="http://schemas.openxmlformats.org/drawingml/2006/picture">
                <pic:pic>
                  <pic:nvPicPr>
                    <pic:cNvPr id="0" name="stakeholder_reliability.png"/>
                    <pic:cNvPicPr/>
                  </pic:nvPicPr>
                  <pic:blipFill>
                    <a:blip r:embed="rId14"/>
                    <a:stretch>
                      <a:fillRect/>
                    </a:stretch>
                  </pic:blipFill>
                  <pic:spPr>
                    <a:xfrm>
                      <a:off x="0" y="0"/>
                      <a:ext cx="5029200" cy="4645123"/>
                    </a:xfrm>
                    <a:prstGeom prst="rect"/>
                  </pic:spPr>
                </pic:pic>
              </a:graphicData>
            </a:graphic>
          </wp:inline>
        </w:drawing>
      </w:r>
    </w:p>
    <w:p/>
    <w:p>
      <w:pPr>
        <w:pStyle w:val="Heading1"/>
      </w:pPr>
      <w:r>
        <w:t>7. Population Bias and Fairness</w:t>
      </w:r>
    </w:p>
    <w:p>
      <w:pPr>
        <w:pStyle w:val="Heading2"/>
      </w:pPr>
      <w:r>
        <w:t>7.1 Selection Bias</w:t>
      </w:r>
    </w:p>
    <w:p>
      <w:r>
        <w:t>Selection bias arises because the model is trained only on booked (accepted) accounts but will be applied to all applicants. Two diagnostics measure the extent of this bias:</w:t>
      </w:r>
    </w:p>
    <w:p>
      <w:pPr>
        <w:pStyle w:val="ListBullet"/>
      </w:pPr>
      <w:r>
        <w:t>Score distribution divergence (KS test): measures how differently the model scores booked vs non-booked applicants. A large KS statistic is expected (the existing decision already separated them), but an extremely high value might indicate the model is merely recapitulating the old decision boundary rather than learning new risk signal.</w:t>
      </w:r>
    </w:p>
    <w:p>
      <w:pPr>
        <w:pStyle w:val="ListBullet"/>
      </w:pPr>
      <w:r>
        <w:t>Correlation with existing benchmark: the Pearson and Spearman correlation between model PD and the original risk_score_rf. HIGH correlation (&gt; 0.90) would suggest the model adds little new information beyond the existing score.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18"/>
              </w:rPr>
              <w:t>Model</w:t>
            </w:r>
          </w:p>
        </w:tc>
        <w:tc>
          <w:tcPr>
            <w:tcW w:type="dxa" w:w="2160"/>
            <w:shd w:val="clear" w:color="auto" w:fill="1F4E79"/>
          </w:tcPr>
          <w:p>
            <w:pPr>
              <w:jc w:val="center"/>
            </w:pPr>
            <w:r>
              <w:rPr>
                <w:b/>
                <w:color w:val="FFFFFF"/>
                <w:sz w:val="18"/>
              </w:rPr>
              <w:t>Pearson r</w:t>
            </w:r>
          </w:p>
        </w:tc>
        <w:tc>
          <w:tcPr>
            <w:tcW w:type="dxa" w:w="2160"/>
            <w:shd w:val="clear" w:color="auto" w:fill="1F4E79"/>
          </w:tcPr>
          <w:p>
            <w:pPr>
              <w:jc w:val="center"/>
            </w:pPr>
            <w:r>
              <w:rPr>
                <w:b/>
                <w:color w:val="FFFFFF"/>
                <w:sz w:val="18"/>
              </w:rPr>
              <w:t>Spearman rho</w:t>
            </w:r>
          </w:p>
        </w:tc>
        <w:tc>
          <w:tcPr>
            <w:tcW w:type="dxa" w:w="2160"/>
            <w:shd w:val="clear" w:color="auto" w:fill="1F4E79"/>
          </w:tcPr>
          <w:p>
            <w:pPr>
              <w:jc w:val="center"/>
            </w:pPr>
            <w:r>
              <w:rPr>
                <w:b/>
                <w:color w:val="FFFFFF"/>
                <w:sz w:val="18"/>
              </w:rPr>
              <w:t>Flag</w:t>
            </w:r>
          </w:p>
        </w:tc>
      </w:tr>
      <w:tr>
        <w:tc>
          <w:tcPr>
            <w:tcW w:type="dxa" w:w="2160"/>
          </w:tcPr>
          <w:p>
            <w:pPr>
              <w:jc w:val="center"/>
            </w:pPr>
            <w:r>
              <w:rPr>
                <w:sz w:val="18"/>
              </w:rPr>
              <w:t>Logistic Regression</w:t>
            </w:r>
          </w:p>
        </w:tc>
        <w:tc>
          <w:tcPr>
            <w:tcW w:type="dxa" w:w="2160"/>
          </w:tcPr>
          <w:p>
            <w:pPr>
              <w:jc w:val="center"/>
            </w:pPr>
            <w:r>
              <w:rPr>
                <w:sz w:val="18"/>
              </w:rPr>
              <w:t>+0.1273</w:t>
            </w:r>
          </w:p>
        </w:tc>
        <w:tc>
          <w:tcPr>
            <w:tcW w:type="dxa" w:w="2160"/>
          </w:tcPr>
          <w:p>
            <w:pPr>
              <w:jc w:val="center"/>
            </w:pPr>
            <w:r>
              <w:rPr>
                <w:sz w:val="18"/>
              </w:rPr>
              <w:t>+0.0807</w:t>
            </w:r>
          </w:p>
        </w:tc>
        <w:tc>
          <w:tcPr>
            <w:tcW w:type="dxa" w:w="2160"/>
          </w:tcPr>
          <w:p>
            <w:pPr>
              <w:jc w:val="center"/>
            </w:pPr>
            <w:r>
              <w:rPr>
                <w:sz w:val="18"/>
              </w:rPr>
              <w:t>LOW</w:t>
            </w:r>
          </w:p>
        </w:tc>
      </w:tr>
      <w:tr>
        <w:tc>
          <w:tcPr>
            <w:tcW w:type="dxa" w:w="2160"/>
          </w:tcPr>
          <w:p>
            <w:pPr>
              <w:jc w:val="center"/>
            </w:pPr>
            <w:r>
              <w:rPr>
                <w:sz w:val="18"/>
              </w:rPr>
              <w:t>LightGBM</w:t>
            </w:r>
          </w:p>
        </w:tc>
        <w:tc>
          <w:tcPr>
            <w:tcW w:type="dxa" w:w="2160"/>
          </w:tcPr>
          <w:p>
            <w:pPr>
              <w:jc w:val="center"/>
            </w:pPr>
            <w:r>
              <w:rPr>
                <w:sz w:val="18"/>
              </w:rPr>
              <w:t>+0.1329</w:t>
            </w:r>
          </w:p>
        </w:tc>
        <w:tc>
          <w:tcPr>
            <w:tcW w:type="dxa" w:w="2160"/>
          </w:tcPr>
          <w:p>
            <w:pPr>
              <w:jc w:val="center"/>
            </w:pPr>
            <w:r>
              <w:rPr>
                <w:sz w:val="18"/>
              </w:rPr>
              <w:t>+0.1358</w:t>
            </w:r>
          </w:p>
        </w:tc>
        <w:tc>
          <w:tcPr>
            <w:tcW w:type="dxa" w:w="2160"/>
          </w:tcPr>
          <w:p>
            <w:pPr>
              <w:jc w:val="center"/>
            </w:pPr>
            <w:r>
              <w:rPr>
                <w:sz w:val="18"/>
              </w:rPr>
              <w:t>LOW</w:t>
            </w:r>
          </w:p>
        </w:tc>
      </w:tr>
      <w:tr>
        <w:tc>
          <w:tcPr>
            <w:tcW w:type="dxa" w:w="2160"/>
          </w:tcPr>
          <w:p>
            <w:pPr>
              <w:jc w:val="center"/>
            </w:pPr>
            <w:r>
              <w:rPr>
                <w:sz w:val="18"/>
              </w:rPr>
              <w:t>XGBoost</w:t>
            </w:r>
          </w:p>
        </w:tc>
        <w:tc>
          <w:tcPr>
            <w:tcW w:type="dxa" w:w="2160"/>
          </w:tcPr>
          <w:p>
            <w:pPr>
              <w:jc w:val="center"/>
            </w:pPr>
            <w:r>
              <w:rPr>
                <w:sz w:val="18"/>
              </w:rPr>
              <w:t>+0.1639</w:t>
            </w:r>
          </w:p>
        </w:tc>
        <w:tc>
          <w:tcPr>
            <w:tcW w:type="dxa" w:w="2160"/>
          </w:tcPr>
          <w:p>
            <w:pPr>
              <w:jc w:val="center"/>
            </w:pPr>
            <w:r>
              <w:rPr>
                <w:sz w:val="18"/>
              </w:rPr>
              <w:t>+0.1560</w:t>
            </w:r>
          </w:p>
        </w:tc>
        <w:tc>
          <w:tcPr>
            <w:tcW w:type="dxa" w:w="2160"/>
          </w:tcPr>
          <w:p>
            <w:pPr>
              <w:jc w:val="center"/>
            </w:pPr>
            <w:r>
              <w:rPr>
                <w:sz w:val="18"/>
              </w:rPr>
              <w:t>LOW</w:t>
            </w:r>
          </w:p>
        </w:tc>
      </w:tr>
      <w:tr>
        <w:tc>
          <w:tcPr>
            <w:tcW w:type="dxa" w:w="2160"/>
          </w:tcPr>
          <w:p>
            <w:pPr>
              <w:jc w:val="center"/>
            </w:pPr>
            <w:r>
              <w:rPr>
                <w:sz w:val="18"/>
              </w:rPr>
              <w:t>CatBoost</w:t>
            </w:r>
          </w:p>
        </w:tc>
        <w:tc>
          <w:tcPr>
            <w:tcW w:type="dxa" w:w="2160"/>
          </w:tcPr>
          <w:p>
            <w:pPr>
              <w:jc w:val="center"/>
            </w:pPr>
            <w:r>
              <w:rPr>
                <w:sz w:val="18"/>
              </w:rPr>
              <w:t>+0.0850</w:t>
            </w:r>
          </w:p>
        </w:tc>
        <w:tc>
          <w:tcPr>
            <w:tcW w:type="dxa" w:w="2160"/>
          </w:tcPr>
          <w:p>
            <w:pPr>
              <w:jc w:val="center"/>
            </w:pPr>
            <w:r>
              <w:rPr>
                <w:sz w:val="18"/>
              </w:rPr>
              <w:t>+0.0924</w:t>
            </w:r>
          </w:p>
        </w:tc>
        <w:tc>
          <w:tcPr>
            <w:tcW w:type="dxa" w:w="2160"/>
          </w:tcPr>
          <w:p>
            <w:pPr>
              <w:jc w:val="center"/>
            </w:pPr>
            <w:r>
              <w:rPr>
                <w:sz w:val="18"/>
              </w:rPr>
              <w:t>LOW</w:t>
            </w:r>
          </w:p>
        </w:tc>
      </w:tr>
    </w:tbl>
    <w:p/>
    <w:p>
      <w:r>
        <w:t>All models show LOW correlation with the existing risk_score_rf (Pearson 0.09-0.16), confirming that the new models capture genuinely different risk dimensions rather than simply replicating the existing decisioning mechanism.</w:t>
      </w:r>
    </w:p>
    <w:p>
      <w:pPr>
        <w:pStyle w:val="Heading2"/>
      </w:pPr>
      <w:r>
        <w:t>7.2 Adverse Impact by Age</w:t>
      </w:r>
    </w:p>
    <w:p>
      <w:r>
        <w:t>Adverse impact analysis evaluates whether the model disproportionately rejects applicants in specific age bands. At a 10% rejection threshold, the adverse impact ratio (AIR) compares each band's approval rate to the best band. AIR below 0.80 triggers the conventional four-fifths rule threshold for disparate impact.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9"/>
          </w:tcPr>
          <w:p>
            <w:pPr>
              <w:jc w:val="center"/>
            </w:pPr>
            <w:r>
              <w:rPr>
                <w:b/>
                <w:color w:val="FFFFFF"/>
                <w:sz w:val="18"/>
              </w:rPr>
              <w:t>Age Band</w:t>
            </w:r>
          </w:p>
        </w:tc>
        <w:tc>
          <w:tcPr>
            <w:tcW w:type="dxa" w:w="1234"/>
            <w:shd w:val="clear" w:color="auto" w:fill="1F4E79"/>
          </w:tcPr>
          <w:p>
            <w:pPr>
              <w:jc w:val="center"/>
            </w:pPr>
            <w:r>
              <w:rPr>
                <w:b/>
                <w:color w:val="FFFFFF"/>
                <w:sz w:val="18"/>
              </w:rPr>
              <w:t>N</w:t>
            </w:r>
          </w:p>
        </w:tc>
        <w:tc>
          <w:tcPr>
            <w:tcW w:type="dxa" w:w="1234"/>
            <w:shd w:val="clear" w:color="auto" w:fill="1F4E79"/>
          </w:tcPr>
          <w:p>
            <w:pPr>
              <w:jc w:val="center"/>
            </w:pPr>
            <w:r>
              <w:rPr>
                <w:b/>
                <w:color w:val="FFFFFF"/>
                <w:sz w:val="18"/>
              </w:rPr>
              <w:t>Obs. Default</w:t>
            </w:r>
          </w:p>
        </w:tc>
        <w:tc>
          <w:tcPr>
            <w:tcW w:type="dxa" w:w="1234"/>
            <w:shd w:val="clear" w:color="auto" w:fill="1F4E79"/>
          </w:tcPr>
          <w:p>
            <w:pPr>
              <w:jc w:val="center"/>
            </w:pPr>
            <w:r>
              <w:rPr>
                <w:b/>
                <w:color w:val="FFFFFF"/>
                <w:sz w:val="18"/>
              </w:rPr>
              <w:t>Mean PD</w:t>
            </w:r>
          </w:p>
        </w:tc>
        <w:tc>
          <w:tcPr>
            <w:tcW w:type="dxa" w:w="1234"/>
            <w:shd w:val="clear" w:color="auto" w:fill="1F4E79"/>
          </w:tcPr>
          <w:p>
            <w:pPr>
              <w:jc w:val="center"/>
            </w:pPr>
            <w:r>
              <w:rPr>
                <w:b/>
                <w:color w:val="FFFFFF"/>
                <w:sz w:val="18"/>
              </w:rPr>
              <w:t>Approval</w:t>
            </w:r>
          </w:p>
        </w:tc>
        <w:tc>
          <w:tcPr>
            <w:tcW w:type="dxa" w:w="1234"/>
            <w:shd w:val="clear" w:color="auto" w:fill="1F4E79"/>
          </w:tcPr>
          <w:p>
            <w:pPr>
              <w:jc w:val="center"/>
            </w:pPr>
            <w:r>
              <w:rPr>
                <w:b/>
                <w:color w:val="FFFFFF"/>
                <w:sz w:val="18"/>
              </w:rPr>
              <w:t>AIR</w:t>
            </w:r>
          </w:p>
        </w:tc>
        <w:tc>
          <w:tcPr>
            <w:tcW w:type="dxa" w:w="1234"/>
            <w:shd w:val="clear" w:color="auto" w:fill="1F4E79"/>
          </w:tcPr>
          <w:p>
            <w:pPr>
              <w:jc w:val="center"/>
            </w:pPr>
            <w:r>
              <w:rPr>
                <w:b/>
                <w:color w:val="FFFFFF"/>
                <w:sz w:val="18"/>
              </w:rPr>
              <w:t>Flag</w:t>
            </w:r>
          </w:p>
        </w:tc>
      </w:tr>
      <w:tr>
        <w:tc>
          <w:tcPr>
            <w:tcW w:type="dxa" w:w="1234"/>
          </w:tcPr>
          <w:p>
            <w:pPr>
              <w:jc w:val="center"/>
            </w:pPr>
            <w:r>
              <w:rPr>
                <w:sz w:val="18"/>
              </w:rPr>
              <w:t>18-25</w:t>
            </w:r>
          </w:p>
        </w:tc>
        <w:tc>
          <w:tcPr>
            <w:tcW w:type="dxa" w:w="1234"/>
          </w:tcPr>
          <w:p>
            <w:pPr>
              <w:jc w:val="center"/>
            </w:pPr>
            <w:r>
              <w:rPr>
                <w:sz w:val="18"/>
              </w:rPr>
              <w:t>338</w:t>
            </w:r>
          </w:p>
        </w:tc>
        <w:tc>
          <w:tcPr>
            <w:tcW w:type="dxa" w:w="1234"/>
          </w:tcPr>
          <w:p>
            <w:pPr>
              <w:jc w:val="center"/>
            </w:pPr>
            <w:r>
              <w:rPr>
                <w:sz w:val="18"/>
              </w:rPr>
              <w:t>7.4%</w:t>
            </w:r>
          </w:p>
        </w:tc>
        <w:tc>
          <w:tcPr>
            <w:tcW w:type="dxa" w:w="1234"/>
          </w:tcPr>
          <w:p>
            <w:pPr>
              <w:jc w:val="center"/>
            </w:pPr>
            <w:r>
              <w:rPr>
                <w:sz w:val="18"/>
              </w:rPr>
              <w:t>59.2%</w:t>
            </w:r>
          </w:p>
        </w:tc>
        <w:tc>
          <w:tcPr>
            <w:tcW w:type="dxa" w:w="1234"/>
          </w:tcPr>
          <w:p>
            <w:pPr>
              <w:jc w:val="center"/>
            </w:pPr>
            <w:r>
              <w:rPr>
                <w:sz w:val="18"/>
              </w:rPr>
              <w:t>74.0%</w:t>
            </w:r>
          </w:p>
        </w:tc>
        <w:tc>
          <w:tcPr>
            <w:tcW w:type="dxa" w:w="1234"/>
          </w:tcPr>
          <w:p>
            <w:pPr>
              <w:jc w:val="center"/>
            </w:pPr>
            <w:r>
              <w:rPr>
                <w:sz w:val="18"/>
              </w:rPr>
              <w:t>0.78</w:t>
            </w:r>
          </w:p>
        </w:tc>
        <w:tc>
          <w:tcPr>
            <w:tcW w:type="dxa" w:w="1234"/>
          </w:tcPr>
          <w:p>
            <w:pPr>
              <w:jc w:val="center"/>
            </w:pPr>
            <w:r>
              <w:rPr>
                <w:sz w:val="18"/>
              </w:rPr>
              <w:t>FAIL</w:t>
            </w:r>
          </w:p>
        </w:tc>
      </w:tr>
      <w:tr>
        <w:tc>
          <w:tcPr>
            <w:tcW w:type="dxa" w:w="1234"/>
          </w:tcPr>
          <w:p>
            <w:pPr>
              <w:jc w:val="center"/>
            </w:pPr>
            <w:r>
              <w:rPr>
                <w:sz w:val="18"/>
              </w:rPr>
              <w:t>25-35</w:t>
            </w:r>
          </w:p>
        </w:tc>
        <w:tc>
          <w:tcPr>
            <w:tcW w:type="dxa" w:w="1234"/>
          </w:tcPr>
          <w:p>
            <w:pPr>
              <w:jc w:val="center"/>
            </w:pPr>
            <w:r>
              <w:rPr>
                <w:sz w:val="18"/>
              </w:rPr>
              <w:t>2,890</w:t>
            </w:r>
          </w:p>
        </w:tc>
        <w:tc>
          <w:tcPr>
            <w:tcW w:type="dxa" w:w="1234"/>
          </w:tcPr>
          <w:p>
            <w:pPr>
              <w:jc w:val="center"/>
            </w:pPr>
            <w:r>
              <w:rPr>
                <w:sz w:val="18"/>
              </w:rPr>
              <w:t>4.9%</w:t>
            </w:r>
          </w:p>
        </w:tc>
        <w:tc>
          <w:tcPr>
            <w:tcW w:type="dxa" w:w="1234"/>
          </w:tcPr>
          <w:p>
            <w:pPr>
              <w:jc w:val="center"/>
            </w:pPr>
            <w:r>
              <w:rPr>
                <w:sz w:val="18"/>
              </w:rPr>
              <w:t>52.7%</w:t>
            </w:r>
          </w:p>
        </w:tc>
        <w:tc>
          <w:tcPr>
            <w:tcW w:type="dxa" w:w="1234"/>
          </w:tcPr>
          <w:p>
            <w:pPr>
              <w:jc w:val="center"/>
            </w:pPr>
            <w:r>
              <w:rPr>
                <w:sz w:val="18"/>
              </w:rPr>
              <w:t>82.2%</w:t>
            </w:r>
          </w:p>
        </w:tc>
        <w:tc>
          <w:tcPr>
            <w:tcW w:type="dxa" w:w="1234"/>
          </w:tcPr>
          <w:p>
            <w:pPr>
              <w:jc w:val="center"/>
            </w:pPr>
            <w:r>
              <w:rPr>
                <w:sz w:val="18"/>
              </w:rPr>
              <w:t>0.86</w:t>
            </w:r>
          </w:p>
        </w:tc>
        <w:tc>
          <w:tcPr>
            <w:tcW w:type="dxa" w:w="1234"/>
          </w:tcPr>
          <w:p>
            <w:pPr>
              <w:jc w:val="center"/>
            </w:pPr>
            <w:r>
              <w:rPr>
                <w:sz w:val="18"/>
              </w:rPr>
              <w:t>PASS</w:t>
            </w:r>
          </w:p>
        </w:tc>
      </w:tr>
      <w:tr>
        <w:tc>
          <w:tcPr>
            <w:tcW w:type="dxa" w:w="1234"/>
          </w:tcPr>
          <w:p>
            <w:pPr>
              <w:jc w:val="center"/>
            </w:pPr>
            <w:r>
              <w:rPr>
                <w:sz w:val="18"/>
              </w:rPr>
              <w:t>35-45</w:t>
            </w:r>
          </w:p>
        </w:tc>
        <w:tc>
          <w:tcPr>
            <w:tcW w:type="dxa" w:w="1234"/>
          </w:tcPr>
          <w:p>
            <w:pPr>
              <w:jc w:val="center"/>
            </w:pPr>
            <w:r>
              <w:rPr>
                <w:sz w:val="18"/>
              </w:rPr>
              <w:t>4,545</w:t>
            </w:r>
          </w:p>
        </w:tc>
        <w:tc>
          <w:tcPr>
            <w:tcW w:type="dxa" w:w="1234"/>
          </w:tcPr>
          <w:p>
            <w:pPr>
              <w:jc w:val="center"/>
            </w:pPr>
            <w:r>
              <w:rPr>
                <w:sz w:val="18"/>
              </w:rPr>
              <w:t>3.9%</w:t>
            </w:r>
          </w:p>
        </w:tc>
        <w:tc>
          <w:tcPr>
            <w:tcW w:type="dxa" w:w="1234"/>
          </w:tcPr>
          <w:p>
            <w:pPr>
              <w:jc w:val="center"/>
            </w:pPr>
            <w:r>
              <w:rPr>
                <w:sz w:val="18"/>
              </w:rPr>
              <w:t>45.5%</w:t>
            </w:r>
          </w:p>
        </w:tc>
        <w:tc>
          <w:tcPr>
            <w:tcW w:type="dxa" w:w="1234"/>
          </w:tcPr>
          <w:p>
            <w:pPr>
              <w:jc w:val="center"/>
            </w:pPr>
            <w:r>
              <w:rPr>
                <w:sz w:val="18"/>
              </w:rPr>
              <w:t>89.9%</w:t>
            </w:r>
          </w:p>
        </w:tc>
        <w:tc>
          <w:tcPr>
            <w:tcW w:type="dxa" w:w="1234"/>
          </w:tcPr>
          <w:p>
            <w:pPr>
              <w:jc w:val="center"/>
            </w:pPr>
            <w:r>
              <w:rPr>
                <w:sz w:val="18"/>
              </w:rPr>
              <w:t>0.94</w:t>
            </w:r>
          </w:p>
        </w:tc>
        <w:tc>
          <w:tcPr>
            <w:tcW w:type="dxa" w:w="1234"/>
          </w:tcPr>
          <w:p>
            <w:pPr>
              <w:jc w:val="center"/>
            </w:pPr>
            <w:r>
              <w:rPr>
                <w:sz w:val="18"/>
              </w:rPr>
              <w:t>PASS</w:t>
            </w:r>
          </w:p>
        </w:tc>
      </w:tr>
      <w:tr>
        <w:tc>
          <w:tcPr>
            <w:tcW w:type="dxa" w:w="1234"/>
          </w:tcPr>
          <w:p>
            <w:pPr>
              <w:jc w:val="center"/>
            </w:pPr>
            <w:r>
              <w:rPr>
                <w:sz w:val="18"/>
              </w:rPr>
              <w:t>45-55</w:t>
            </w:r>
          </w:p>
        </w:tc>
        <w:tc>
          <w:tcPr>
            <w:tcW w:type="dxa" w:w="1234"/>
          </w:tcPr>
          <w:p>
            <w:pPr>
              <w:jc w:val="center"/>
            </w:pPr>
            <w:r>
              <w:rPr>
                <w:sz w:val="18"/>
              </w:rPr>
              <w:t>4,907</w:t>
            </w:r>
          </w:p>
        </w:tc>
        <w:tc>
          <w:tcPr>
            <w:tcW w:type="dxa" w:w="1234"/>
          </w:tcPr>
          <w:p>
            <w:pPr>
              <w:jc w:val="center"/>
            </w:pPr>
            <w:r>
              <w:rPr>
                <w:sz w:val="18"/>
              </w:rPr>
              <w:t>3.4%</w:t>
            </w:r>
          </w:p>
        </w:tc>
        <w:tc>
          <w:tcPr>
            <w:tcW w:type="dxa" w:w="1234"/>
          </w:tcPr>
          <w:p>
            <w:pPr>
              <w:jc w:val="center"/>
            </w:pPr>
            <w:r>
              <w:rPr>
                <w:sz w:val="18"/>
              </w:rPr>
              <w:t>41.8%</w:t>
            </w:r>
          </w:p>
        </w:tc>
        <w:tc>
          <w:tcPr>
            <w:tcW w:type="dxa" w:w="1234"/>
          </w:tcPr>
          <w:p>
            <w:pPr>
              <w:jc w:val="center"/>
            </w:pPr>
            <w:r>
              <w:rPr>
                <w:sz w:val="18"/>
              </w:rPr>
              <w:t>92.8%</w:t>
            </w:r>
          </w:p>
        </w:tc>
        <w:tc>
          <w:tcPr>
            <w:tcW w:type="dxa" w:w="1234"/>
          </w:tcPr>
          <w:p>
            <w:pPr>
              <w:jc w:val="center"/>
            </w:pPr>
            <w:r>
              <w:rPr>
                <w:sz w:val="18"/>
              </w:rPr>
              <w:t>0.97</w:t>
            </w:r>
          </w:p>
        </w:tc>
        <w:tc>
          <w:tcPr>
            <w:tcW w:type="dxa" w:w="1234"/>
          </w:tcPr>
          <w:p>
            <w:pPr>
              <w:jc w:val="center"/>
            </w:pPr>
            <w:r>
              <w:rPr>
                <w:sz w:val="18"/>
              </w:rPr>
              <w:t>PASS</w:t>
            </w:r>
          </w:p>
        </w:tc>
      </w:tr>
      <w:tr>
        <w:tc>
          <w:tcPr>
            <w:tcW w:type="dxa" w:w="1234"/>
          </w:tcPr>
          <w:p>
            <w:pPr>
              <w:jc w:val="center"/>
            </w:pPr>
            <w:r>
              <w:rPr>
                <w:sz w:val="18"/>
              </w:rPr>
              <w:t>55-65</w:t>
            </w:r>
          </w:p>
        </w:tc>
        <w:tc>
          <w:tcPr>
            <w:tcW w:type="dxa" w:w="1234"/>
          </w:tcPr>
          <w:p>
            <w:pPr>
              <w:jc w:val="center"/>
            </w:pPr>
            <w:r>
              <w:rPr>
                <w:sz w:val="18"/>
              </w:rPr>
              <w:t>2,348</w:t>
            </w:r>
          </w:p>
        </w:tc>
        <w:tc>
          <w:tcPr>
            <w:tcW w:type="dxa" w:w="1234"/>
          </w:tcPr>
          <w:p>
            <w:pPr>
              <w:jc w:val="center"/>
            </w:pPr>
            <w:r>
              <w:rPr>
                <w:sz w:val="18"/>
              </w:rPr>
              <w:t>2.9%</w:t>
            </w:r>
          </w:p>
        </w:tc>
        <w:tc>
          <w:tcPr>
            <w:tcW w:type="dxa" w:w="1234"/>
          </w:tcPr>
          <w:p>
            <w:pPr>
              <w:jc w:val="center"/>
            </w:pPr>
            <w:r>
              <w:rPr>
                <w:sz w:val="18"/>
              </w:rPr>
              <w:t>39.9%</w:t>
            </w:r>
          </w:p>
        </w:tc>
        <w:tc>
          <w:tcPr>
            <w:tcW w:type="dxa" w:w="1234"/>
          </w:tcPr>
          <w:p>
            <w:pPr>
              <w:jc w:val="center"/>
            </w:pPr>
            <w:r>
              <w:rPr>
                <w:sz w:val="18"/>
              </w:rPr>
              <w:t>93.6%</w:t>
            </w:r>
          </w:p>
        </w:tc>
        <w:tc>
          <w:tcPr>
            <w:tcW w:type="dxa" w:w="1234"/>
          </w:tcPr>
          <w:p>
            <w:pPr>
              <w:jc w:val="center"/>
            </w:pPr>
            <w:r>
              <w:rPr>
                <w:sz w:val="18"/>
              </w:rPr>
              <w:t>0.98</w:t>
            </w:r>
          </w:p>
        </w:tc>
        <w:tc>
          <w:tcPr>
            <w:tcW w:type="dxa" w:w="1234"/>
          </w:tcPr>
          <w:p>
            <w:pPr>
              <w:jc w:val="center"/>
            </w:pPr>
            <w:r>
              <w:rPr>
                <w:sz w:val="18"/>
              </w:rPr>
              <w:t>PASS</w:t>
            </w:r>
          </w:p>
        </w:tc>
      </w:tr>
      <w:tr>
        <w:tc>
          <w:tcPr>
            <w:tcW w:type="dxa" w:w="1234"/>
          </w:tcPr>
          <w:p>
            <w:pPr>
              <w:jc w:val="center"/>
            </w:pPr>
            <w:r>
              <w:rPr>
                <w:sz w:val="18"/>
              </w:rPr>
              <w:t>65-100</w:t>
            </w:r>
          </w:p>
        </w:tc>
        <w:tc>
          <w:tcPr>
            <w:tcW w:type="dxa" w:w="1234"/>
          </w:tcPr>
          <w:p>
            <w:pPr>
              <w:jc w:val="center"/>
            </w:pPr>
            <w:r>
              <w:rPr>
                <w:sz w:val="18"/>
              </w:rPr>
              <w:t>1,081</w:t>
            </w:r>
          </w:p>
        </w:tc>
        <w:tc>
          <w:tcPr>
            <w:tcW w:type="dxa" w:w="1234"/>
          </w:tcPr>
          <w:p>
            <w:pPr>
              <w:jc w:val="center"/>
            </w:pPr>
            <w:r>
              <w:rPr>
                <w:sz w:val="18"/>
              </w:rPr>
              <w:t>2.9%</w:t>
            </w:r>
          </w:p>
        </w:tc>
        <w:tc>
          <w:tcPr>
            <w:tcW w:type="dxa" w:w="1234"/>
          </w:tcPr>
          <w:p>
            <w:pPr>
              <w:jc w:val="center"/>
            </w:pPr>
            <w:r>
              <w:rPr>
                <w:sz w:val="18"/>
              </w:rPr>
              <w:t>36.6%</w:t>
            </w:r>
          </w:p>
        </w:tc>
        <w:tc>
          <w:tcPr>
            <w:tcW w:type="dxa" w:w="1234"/>
          </w:tcPr>
          <w:p>
            <w:pPr>
              <w:jc w:val="center"/>
            </w:pPr>
            <w:r>
              <w:rPr>
                <w:sz w:val="18"/>
              </w:rPr>
              <w:t>95.4%</w:t>
            </w:r>
          </w:p>
        </w:tc>
        <w:tc>
          <w:tcPr>
            <w:tcW w:type="dxa" w:w="1234"/>
          </w:tcPr>
          <w:p>
            <w:pPr>
              <w:jc w:val="center"/>
            </w:pPr>
            <w:r>
              <w:rPr>
                <w:sz w:val="18"/>
              </w:rPr>
              <w:t>1.00</w:t>
            </w:r>
          </w:p>
        </w:tc>
        <w:tc>
          <w:tcPr>
            <w:tcW w:type="dxa" w:w="1234"/>
          </w:tcPr>
          <w:p>
            <w:pPr>
              <w:jc w:val="center"/>
            </w:pPr>
            <w:r>
              <w:rPr>
                <w:sz w:val="18"/>
              </w:rPr>
              <w:t>PASS</w:t>
            </w:r>
          </w:p>
        </w:tc>
      </w:tr>
    </w:tbl>
    <w:p/>
    <w:p>
      <w:r>
        <w:t>The 18-25 age band is flagged (AIR = 0.78), reflecting a genuinely higher observed default rate (7.4% vs 2.9% for ages 65+). The model correctly identifies this elevated risk, but the resulting differential treatment requires regulatory review to determine whether age-based risk differentiation is permissible in the applicable jurisdiction. If mitigation is required, options include capping the age contribution in the model or applying post-hoc threshold adjustments for younger applicants.</w:t>
      </w:r>
    </w:p>
    <w:p>
      <w:pPr>
        <w:pStyle w:val="Heading1"/>
      </w:pPr>
      <w:r>
        <w:t>8. Feature Assessment</w:t>
      </w:r>
    </w:p>
    <w:p>
      <w:pPr>
        <w:pStyle w:val="Heading2"/>
      </w:pPr>
      <w:r>
        <w:t>8.1 Information Value</w:t>
      </w:r>
    </w:p>
    <w:p>
      <w:r>
        <w:t>Information Value (IV) measures univariate predictive power on the development-fit sample. IV &lt; 0.02 is considered useless; 0.02-0.10 weak; 0.10-0.30 medium; 0.30-0.50 strong; &gt; 0.50 suspicious (potential leakage).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8"/>
              </w:rPr>
              <w:t>Feature</w:t>
            </w:r>
          </w:p>
        </w:tc>
        <w:tc>
          <w:tcPr>
            <w:tcW w:type="dxa" w:w="2880"/>
            <w:shd w:val="clear" w:color="auto" w:fill="1F4E79"/>
          </w:tcPr>
          <w:p>
            <w:pPr>
              <w:jc w:val="center"/>
            </w:pPr>
            <w:r>
              <w:rPr>
                <w:b/>
                <w:color w:val="FFFFFF"/>
                <w:sz w:val="18"/>
              </w:rPr>
              <w:t>IV</w:t>
            </w:r>
          </w:p>
        </w:tc>
        <w:tc>
          <w:tcPr>
            <w:tcW w:type="dxa" w:w="2880"/>
            <w:shd w:val="clear" w:color="auto" w:fill="1F4E79"/>
          </w:tcPr>
          <w:p>
            <w:pPr>
              <w:jc w:val="center"/>
            </w:pPr>
            <w:r>
              <w:rPr>
                <w:b/>
                <w:color w:val="FFFFFF"/>
                <w:sz w:val="18"/>
              </w:rPr>
              <w:t>Strength</w:t>
            </w:r>
          </w:p>
        </w:tc>
      </w:tr>
      <w:tr>
        <w:tc>
          <w:tcPr>
            <w:tcW w:type="dxa" w:w="2880"/>
          </w:tcPr>
          <w:p>
            <w:pPr>
              <w:jc w:val="center"/>
            </w:pPr>
            <w:r>
              <w:rPr>
                <w:sz w:val="18"/>
              </w:rPr>
              <w:t>AGE_T1_DIV_MAX_CREDIT_TJ_AV</w:t>
            </w:r>
          </w:p>
        </w:tc>
        <w:tc>
          <w:tcPr>
            <w:tcW w:type="dxa" w:w="2880"/>
          </w:tcPr>
          <w:p>
            <w:pPr>
              <w:jc w:val="center"/>
            </w:pPr>
            <w:r>
              <w:rPr>
                <w:sz w:val="18"/>
              </w:rPr>
              <w:t>0.2238</w:t>
            </w:r>
          </w:p>
        </w:tc>
        <w:tc>
          <w:tcPr>
            <w:tcW w:type="dxa" w:w="2880"/>
          </w:tcPr>
          <w:p>
            <w:pPr>
              <w:jc w:val="center"/>
            </w:pPr>
            <w:r>
              <w:rPr>
                <w:sz w:val="18"/>
              </w:rPr>
              <w:t>Medium</w:t>
            </w:r>
          </w:p>
        </w:tc>
      </w:tr>
      <w:tr>
        <w:tc>
          <w:tcPr>
            <w:tcW w:type="dxa" w:w="2880"/>
          </w:tcPr>
          <w:p>
            <w:pPr>
              <w:jc w:val="center"/>
            </w:pPr>
            <w:r>
              <w:rPr>
                <w:sz w:val="18"/>
              </w:rPr>
              <w:t>FREQ_BIN_MAX_CREDIT_TJ_AV_x_FAMILY_SITUATION</w:t>
            </w:r>
          </w:p>
        </w:tc>
        <w:tc>
          <w:tcPr>
            <w:tcW w:type="dxa" w:w="2880"/>
          </w:tcPr>
          <w:p>
            <w:pPr>
              <w:jc w:val="center"/>
            </w:pPr>
            <w:r>
              <w:rPr>
                <w:sz w:val="18"/>
              </w:rPr>
              <w:t>0.2052</w:t>
            </w:r>
          </w:p>
        </w:tc>
        <w:tc>
          <w:tcPr>
            <w:tcW w:type="dxa" w:w="2880"/>
          </w:tcPr>
          <w:p>
            <w:pPr>
              <w:jc w:val="center"/>
            </w:pPr>
            <w:r>
              <w:rPr>
                <w:sz w:val="18"/>
              </w:rPr>
              <w:t>Medium</w:t>
            </w:r>
          </w:p>
        </w:tc>
      </w:tr>
      <w:tr>
        <w:tc>
          <w:tcPr>
            <w:tcW w:type="dxa" w:w="2880"/>
          </w:tcPr>
          <w:p>
            <w:pPr>
              <w:jc w:val="center"/>
            </w:pPr>
            <w:r>
              <w:rPr>
                <w:sz w:val="18"/>
              </w:rPr>
              <w:t>BIN_MAX_CREDIT_TJ_AV_x_ESTCLI2</w:t>
            </w:r>
          </w:p>
        </w:tc>
        <w:tc>
          <w:tcPr>
            <w:tcW w:type="dxa" w:w="2880"/>
          </w:tcPr>
          <w:p>
            <w:pPr>
              <w:jc w:val="center"/>
            </w:pPr>
            <w:r>
              <w:rPr>
                <w:sz w:val="18"/>
              </w:rPr>
              <w:t>0.2046</w:t>
            </w:r>
          </w:p>
        </w:tc>
        <w:tc>
          <w:tcPr>
            <w:tcW w:type="dxa" w:w="2880"/>
          </w:tcPr>
          <w:p>
            <w:pPr>
              <w:jc w:val="center"/>
            </w:pPr>
            <w:r>
              <w:rPr>
                <w:sz w:val="18"/>
              </w:rPr>
              <w:t>Medium</w:t>
            </w:r>
          </w:p>
        </w:tc>
      </w:tr>
      <w:tr>
        <w:tc>
          <w:tcPr>
            <w:tcW w:type="dxa" w:w="2880"/>
          </w:tcPr>
          <w:p>
            <w:pPr>
              <w:jc w:val="center"/>
            </w:pPr>
            <w:r>
              <w:rPr>
                <w:sz w:val="18"/>
              </w:rPr>
              <w:t>BIN_MAX_CREDIT_TJ_AV_x_ESTCLI1</w:t>
            </w:r>
          </w:p>
        </w:tc>
        <w:tc>
          <w:tcPr>
            <w:tcW w:type="dxa" w:w="2880"/>
          </w:tcPr>
          <w:p>
            <w:pPr>
              <w:jc w:val="center"/>
            </w:pPr>
            <w:r>
              <w:rPr>
                <w:sz w:val="18"/>
              </w:rPr>
              <w:t>0.2034</w:t>
            </w:r>
          </w:p>
        </w:tc>
        <w:tc>
          <w:tcPr>
            <w:tcW w:type="dxa" w:w="2880"/>
          </w:tcPr>
          <w:p>
            <w:pPr>
              <w:jc w:val="center"/>
            </w:pPr>
            <w:r>
              <w:rPr>
                <w:sz w:val="18"/>
              </w:rPr>
              <w:t>Medium</w:t>
            </w:r>
          </w:p>
        </w:tc>
      </w:tr>
      <w:tr>
        <w:tc>
          <w:tcPr>
            <w:tcW w:type="dxa" w:w="2880"/>
          </w:tcPr>
          <w:p>
            <w:pPr>
              <w:jc w:val="center"/>
            </w:pPr>
            <w:r>
              <w:rPr>
                <w:sz w:val="18"/>
              </w:rPr>
              <w:t>FREQ_HOUSE_TYPE_x_FAMILY_SITUATION</w:t>
            </w:r>
          </w:p>
        </w:tc>
        <w:tc>
          <w:tcPr>
            <w:tcW w:type="dxa" w:w="2880"/>
          </w:tcPr>
          <w:p>
            <w:pPr>
              <w:jc w:val="center"/>
            </w:pPr>
            <w:r>
              <w:rPr>
                <w:sz w:val="18"/>
              </w:rPr>
              <w:t>0.1898</w:t>
            </w:r>
          </w:p>
        </w:tc>
        <w:tc>
          <w:tcPr>
            <w:tcW w:type="dxa" w:w="2880"/>
          </w:tcPr>
          <w:p>
            <w:pPr>
              <w:jc w:val="center"/>
            </w:pPr>
            <w:r>
              <w:rPr>
                <w:sz w:val="18"/>
              </w:rPr>
              <w:t>Medium</w:t>
            </w:r>
          </w:p>
        </w:tc>
      </w:tr>
      <w:tr>
        <w:tc>
          <w:tcPr>
            <w:tcW w:type="dxa" w:w="2880"/>
          </w:tcPr>
          <w:p>
            <w:pPr>
              <w:jc w:val="center"/>
            </w:pPr>
            <w:r>
              <w:rPr>
                <w:sz w:val="18"/>
              </w:rPr>
              <w:t>INCOME_T1_DIV_MAX_CREDIT_TJ_AV</w:t>
            </w:r>
          </w:p>
        </w:tc>
        <w:tc>
          <w:tcPr>
            <w:tcW w:type="dxa" w:w="2880"/>
          </w:tcPr>
          <w:p>
            <w:pPr>
              <w:jc w:val="center"/>
            </w:pPr>
            <w:r>
              <w:rPr>
                <w:sz w:val="18"/>
              </w:rPr>
              <w:t>0.1783</w:t>
            </w:r>
          </w:p>
        </w:tc>
        <w:tc>
          <w:tcPr>
            <w:tcW w:type="dxa" w:w="2880"/>
          </w:tcPr>
          <w:p>
            <w:pPr>
              <w:jc w:val="center"/>
            </w:pPr>
            <w:r>
              <w:rPr>
                <w:sz w:val="18"/>
              </w:rPr>
              <w:t>Medium</w:t>
            </w:r>
          </w:p>
        </w:tc>
      </w:tr>
      <w:tr>
        <w:tc>
          <w:tcPr>
            <w:tcW w:type="dxa" w:w="2880"/>
          </w:tcPr>
          <w:p>
            <w:pPr>
              <w:jc w:val="center"/>
            </w:pPr>
            <w:r>
              <w:rPr>
                <w:sz w:val="18"/>
              </w:rPr>
              <w:t>FREQ_BIN_MAX_CREDIT_TJ_AV_x_HOUSE_TYPE</w:t>
            </w:r>
          </w:p>
        </w:tc>
        <w:tc>
          <w:tcPr>
            <w:tcW w:type="dxa" w:w="2880"/>
          </w:tcPr>
          <w:p>
            <w:pPr>
              <w:jc w:val="center"/>
            </w:pPr>
            <w:r>
              <w:rPr>
                <w:sz w:val="18"/>
              </w:rPr>
              <w:t>0.1742</w:t>
            </w:r>
          </w:p>
        </w:tc>
        <w:tc>
          <w:tcPr>
            <w:tcW w:type="dxa" w:w="2880"/>
          </w:tcPr>
          <w:p>
            <w:pPr>
              <w:jc w:val="center"/>
            </w:pPr>
            <w:r>
              <w:rPr>
                <w:sz w:val="18"/>
              </w:rPr>
              <w:t>Medium</w:t>
            </w:r>
          </w:p>
        </w:tc>
      </w:tr>
      <w:tr>
        <w:tc>
          <w:tcPr>
            <w:tcW w:type="dxa" w:w="2880"/>
          </w:tcPr>
          <w:p>
            <w:pPr>
              <w:jc w:val="center"/>
            </w:pPr>
            <w:r>
              <w:rPr>
                <w:sz w:val="18"/>
              </w:rPr>
              <w:t>LEFT_TO_LIVE_DIV_MAX_CREDIT_TJ_AV</w:t>
            </w:r>
          </w:p>
        </w:tc>
        <w:tc>
          <w:tcPr>
            <w:tcW w:type="dxa" w:w="2880"/>
          </w:tcPr>
          <w:p>
            <w:pPr>
              <w:jc w:val="center"/>
            </w:pPr>
            <w:r>
              <w:rPr>
                <w:sz w:val="18"/>
              </w:rPr>
              <w:t>0.1619</w:t>
            </w:r>
          </w:p>
        </w:tc>
        <w:tc>
          <w:tcPr>
            <w:tcW w:type="dxa" w:w="2880"/>
          </w:tcPr>
          <w:p>
            <w:pPr>
              <w:jc w:val="center"/>
            </w:pPr>
            <w:r>
              <w:rPr>
                <w:sz w:val="18"/>
              </w:rPr>
              <w:t>Medium</w:t>
            </w:r>
          </w:p>
        </w:tc>
      </w:tr>
      <w:tr>
        <w:tc>
          <w:tcPr>
            <w:tcW w:type="dxa" w:w="2880"/>
          </w:tcPr>
          <w:p>
            <w:pPr>
              <w:jc w:val="center"/>
            </w:pPr>
            <w:r>
              <w:rPr>
                <w:sz w:val="18"/>
              </w:rPr>
              <w:t>FREQ_BIN_TOTAL_AMT_x_HOUSE_TYPE</w:t>
            </w:r>
          </w:p>
        </w:tc>
        <w:tc>
          <w:tcPr>
            <w:tcW w:type="dxa" w:w="2880"/>
          </w:tcPr>
          <w:p>
            <w:pPr>
              <w:jc w:val="center"/>
            </w:pPr>
            <w:r>
              <w:rPr>
                <w:sz w:val="18"/>
              </w:rPr>
              <w:t>0.1585</w:t>
            </w:r>
          </w:p>
        </w:tc>
        <w:tc>
          <w:tcPr>
            <w:tcW w:type="dxa" w:w="2880"/>
          </w:tcPr>
          <w:p>
            <w:pPr>
              <w:jc w:val="center"/>
            </w:pPr>
            <w:r>
              <w:rPr>
                <w:sz w:val="18"/>
              </w:rPr>
              <w:t>Medium</w:t>
            </w:r>
          </w:p>
        </w:tc>
      </w:tr>
      <w:tr>
        <w:tc>
          <w:tcPr>
            <w:tcW w:type="dxa" w:w="2880"/>
          </w:tcPr>
          <w:p>
            <w:pPr>
              <w:jc w:val="center"/>
            </w:pPr>
            <w:r>
              <w:rPr>
                <w:sz w:val="18"/>
              </w:rPr>
              <w:t>FREQ_BIN_INSTALLMENT_AMT_x_HOUSE_TYPE</w:t>
            </w:r>
          </w:p>
        </w:tc>
        <w:tc>
          <w:tcPr>
            <w:tcW w:type="dxa" w:w="2880"/>
          </w:tcPr>
          <w:p>
            <w:pPr>
              <w:jc w:val="center"/>
            </w:pPr>
            <w:r>
              <w:rPr>
                <w:sz w:val="18"/>
              </w:rPr>
              <w:t>0.1583</w:t>
            </w:r>
          </w:p>
        </w:tc>
        <w:tc>
          <w:tcPr>
            <w:tcW w:type="dxa" w:w="2880"/>
          </w:tcPr>
          <w:p>
            <w:pPr>
              <w:jc w:val="center"/>
            </w:pPr>
            <w:r>
              <w:rPr>
                <w:sz w:val="18"/>
              </w:rPr>
              <w:t>Medium</w:t>
            </w:r>
          </w:p>
        </w:tc>
      </w:tr>
    </w:tbl>
    <w:p/>
    <w:p>
      <w:r>
        <w:t>No feature exceeds IV 0.30, which rules out data leakage. The top features are bureau-capacity ratios (AGE/MAX_CREDIT, INCOME/MAX_CREDIT), binned numerical x categorical interactions, and frequency-encoded categorical surrogates. This pattern indicates that risk differentiation comes primarily from the relationship between borrower capacity and credit utilization rather than from any single demographic or product attribute.</w:t>
      </w:r>
    </w:p>
    <w:p>
      <w:pPr>
        <w:jc w:val="center"/>
      </w:pPr>
      <w:r>
        <w:drawing>
          <wp:inline xmlns:a="http://schemas.openxmlformats.org/drawingml/2006/main" xmlns:pic="http://schemas.openxmlformats.org/drawingml/2006/picture">
            <wp:extent cx="5029200" cy="3182780"/>
            <wp:docPr id="7" name="Picture 7"/>
            <wp:cNvGraphicFramePr>
              <a:graphicFrameLocks noChangeAspect="1"/>
            </wp:cNvGraphicFramePr>
            <a:graphic>
              <a:graphicData uri="http://schemas.openxmlformats.org/drawingml/2006/picture">
                <pic:pic>
                  <pic:nvPicPr>
                    <pic:cNvPr id="0" name="stakeholder_top_drivers.png"/>
                    <pic:cNvPicPr/>
                  </pic:nvPicPr>
                  <pic:blipFill>
                    <a:blip r:embed="rId15"/>
                    <a:stretch>
                      <a:fillRect/>
                    </a:stretch>
                  </pic:blipFill>
                  <pic:spPr>
                    <a:xfrm>
                      <a:off x="0" y="0"/>
                      <a:ext cx="5029200" cy="3182780"/>
                    </a:xfrm>
                    <a:prstGeom prst="rect"/>
                  </pic:spPr>
                </pic:pic>
              </a:graphicData>
            </a:graphic>
          </wp:inline>
        </w:drawing>
      </w:r>
    </w:p>
    <w:p/>
    <w:p>
      <w:pPr>
        <w:jc w:val="center"/>
      </w:pPr>
      <w:r>
        <w:drawing>
          <wp:inline xmlns:a="http://schemas.openxmlformats.org/drawingml/2006/main" xmlns:pic="http://schemas.openxmlformats.org/drawingml/2006/picture">
            <wp:extent cx="4572000" cy="5263029"/>
            <wp:docPr id="8" name="Picture 8"/>
            <wp:cNvGraphicFramePr>
              <a:graphicFrameLocks noChangeAspect="1"/>
            </wp:cNvGraphicFramePr>
            <a:graphic>
              <a:graphicData uri="http://schemas.openxmlformats.org/drawingml/2006/picture">
                <pic:pic>
                  <pic:nvPicPr>
                    <pic:cNvPr id="0" name="shap_summary.png"/>
                    <pic:cNvPicPr/>
                  </pic:nvPicPr>
                  <pic:blipFill>
                    <a:blip r:embed="rId16"/>
                    <a:stretch>
                      <a:fillRect/>
                    </a:stretch>
                  </pic:blipFill>
                  <pic:spPr>
                    <a:xfrm>
                      <a:off x="0" y="0"/>
                      <a:ext cx="4572000" cy="5263029"/>
                    </a:xfrm>
                    <a:prstGeom prst="rect"/>
                  </pic:spPr>
                </pic:pic>
              </a:graphicData>
            </a:graphic>
          </wp:inline>
        </w:drawing>
      </w:r>
    </w:p>
    <w:p/>
    <w:p>
      <w:pPr>
        <w:pStyle w:val="Heading1"/>
      </w:pPr>
      <w:r>
        <w:t>9. Post-Hoc Ensemble</w:t>
      </w:r>
    </w:p>
    <w:p>
      <w:r>
        <w:t>A post-hoc ensemble blends Logistic Regression (55%) and LightGBM (45%), with weights optimized via grid search on calibration holdout PR AUC. On the held-out test, the ensemble achieves ROC AUC 0.6661 and PR AUC 0.0656, marginally improving on the standalone Logistic Regression (ROC AUC 0.6658, PR AUC 0.0642).</w:t>
      </w:r>
    </w:p>
    <w:p>
      <w:r>
        <w:t>The ensemble provides a slight discrimination improvement by combining LR's stable generalization with LightGBM's different error profile. However, the added operational complexity of maintaining two models should be weighed against the marginal performance gain.</w:t>
      </w:r>
    </w:p>
    <w:p>
      <w:pPr>
        <w:pStyle w:val="Heading1"/>
      </w:pPr>
      <w:r>
        <w:t>10. Limitations and Caveats</w:t>
      </w:r>
    </w:p>
    <w:p>
      <w:r>
        <w:rPr>
          <w:b/>
        </w:rPr>
        <w:t xml:space="preserve">Booked-proxy evaluation. </w:t>
      </w:r>
      <w:r>
        <w:t>All metrics are computed on the accepted population only. Rejected and canceled applicants have no observed default outcome, so the model's performance on the full applicant population is unknown. The booked-proxy metrics are an optimistic estimate of true applicant-stage performance because the existing decisioning has already filtered out the highest-risk applicants.</w:t>
      </w:r>
    </w:p>
    <w:p>
      <w:r>
        <w:rPr>
          <w:b/>
        </w:rPr>
        <w:t xml:space="preserve">Tree model overfitting. </w:t>
      </w:r>
      <w:r>
        <w:t>Despite tightened complexity bounds (shallow depth, high minimum leaf sizes, coarse bins), all tree models exhibit severe overfitting. This limits their contribution to the production recommendation. Further regularization or larger training samples may help.</w:t>
      </w:r>
    </w:p>
    <w:p>
      <w:r>
        <w:rPr>
          <w:b/>
        </w:rPr>
        <w:t xml:space="preserve">Age-based adverse impact. </w:t>
      </w:r>
      <w:r>
        <w:t>The 18-25 age band fails the 80% AIR threshold. While this reflects genuinely higher default risk in this segment, it may require mitigation depending on regulatory requirements.</w:t>
      </w:r>
    </w:p>
    <w:p>
      <w:r>
        <w:rPr>
          <w:b/>
        </w:rPr>
        <w:t xml:space="preserve">Benchmark ceiling. </w:t>
      </w:r>
      <w:r>
        <w:t>risk_score_rf retains a meaningful PR AUC advantage, particularly in concentrating defaults in the highest-risk segment. Closing this gap is the primary modeling opportunity.</w:t>
      </w:r>
    </w:p>
    <w:p>
      <w:r>
        <w:rPr>
          <w:b/>
        </w:rPr>
        <w:t xml:space="preserve">Single temporal test window. </w:t>
      </w:r>
      <w:r>
        <w:t>The held-out evaluation covers July 2024 to January 2025. While rolling OOT provides additional evidence, a longer forward evaluation period would strengthen confidence in production stability.</w:t>
      </w:r>
    </w:p>
    <w:p>
      <w:r>
        <w:rPr>
          <w:b/>
        </w:rPr>
        <w:t xml:space="preserve">Calibration sensitivity. </w:t>
      </w:r>
      <w:r>
        <w:t>Calibrated probabilities depend on the holdout sample size and default rate. Changes in the portfolio mix or economic environment may require recalibration.</w:t>
      </w:r>
    </w:p>
    <w:p>
      <w:pPr>
        <w:pStyle w:val="Heading1"/>
      </w:pPr>
      <w:r>
        <w:t>Appendix: Stakeholder Charts</w:t>
      </w:r>
    </w:p>
    <w:p>
      <w:pPr>
        <w:pStyle w:val="Heading2"/>
      </w:pPr>
      <w:r>
        <w:t>Executive Summary</w:t>
      </w:r>
    </w:p>
    <w:p>
      <w:pPr>
        <w:jc w:val="center"/>
      </w:pPr>
      <w:r>
        <w:drawing>
          <wp:inline xmlns:a="http://schemas.openxmlformats.org/drawingml/2006/main" xmlns:pic="http://schemas.openxmlformats.org/drawingml/2006/picture">
            <wp:extent cx="5029200" cy="3314526"/>
            <wp:docPr id="9" name="Picture 9"/>
            <wp:cNvGraphicFramePr>
              <a:graphicFrameLocks noChangeAspect="1"/>
            </wp:cNvGraphicFramePr>
            <a:graphic>
              <a:graphicData uri="http://schemas.openxmlformats.org/drawingml/2006/picture">
                <pic:pic>
                  <pic:nvPicPr>
                    <pic:cNvPr id="0" name="stakeholder_executive_summary.png"/>
                    <pic:cNvPicPr/>
                  </pic:nvPicPr>
                  <pic:blipFill>
                    <a:blip r:embed="rId17"/>
                    <a:stretch>
                      <a:fillRect/>
                    </a:stretch>
                  </pic:blipFill>
                  <pic:spPr>
                    <a:xfrm>
                      <a:off x="0" y="0"/>
                      <a:ext cx="5029200" cy="3314526"/>
                    </a:xfrm>
                    <a:prstGeom prst="rect"/>
                  </pic:spPr>
                </pic:pic>
              </a:graphicData>
            </a:graphic>
          </wp:inline>
        </w:drawing>
      </w:r>
    </w:p>
    <w:p/>
    <w:p>
      <w:pPr>
        <w:pStyle w:val="Heading2"/>
      </w:pPr>
      <w:r>
        <w:t>Key Performance Indicators</w:t>
      </w:r>
    </w:p>
    <w:p>
      <w:pPr>
        <w:jc w:val="center"/>
      </w:pPr>
      <w:r>
        <w:drawing>
          <wp:inline xmlns:a="http://schemas.openxmlformats.org/drawingml/2006/main" xmlns:pic="http://schemas.openxmlformats.org/drawingml/2006/picture">
            <wp:extent cx="5029200" cy="3086715"/>
            <wp:docPr id="10" name="Picture 10"/>
            <wp:cNvGraphicFramePr>
              <a:graphicFrameLocks noChangeAspect="1"/>
            </wp:cNvGraphicFramePr>
            <a:graphic>
              <a:graphicData uri="http://schemas.openxmlformats.org/drawingml/2006/picture">
                <pic:pic>
                  <pic:nvPicPr>
                    <pic:cNvPr id="0" name="stakeholder_kpis.png"/>
                    <pic:cNvPicPr/>
                  </pic:nvPicPr>
                  <pic:blipFill>
                    <a:blip r:embed="rId18"/>
                    <a:stretch>
                      <a:fillRect/>
                    </a:stretch>
                  </pic:blipFill>
                  <pic:spPr>
                    <a:xfrm>
                      <a:off x="0" y="0"/>
                      <a:ext cx="5029200" cy="3086715"/>
                    </a:xfrm>
                    <a:prstGeom prst="rect"/>
                  </pic:spPr>
                </pic:pic>
              </a:graphicData>
            </a:graphic>
          </wp:inline>
        </w:drawing>
      </w:r>
    </w:p>
    <w:p/>
    <w:p>
      <w:pPr>
        <w:pStyle w:val="Heading2"/>
      </w:pPr>
      <w:r>
        <w:t>Population Coverage</w:t>
      </w:r>
    </w:p>
    <w:p>
      <w:pPr>
        <w:jc w:val="center"/>
      </w:pPr>
      <w:r>
        <w:drawing>
          <wp:inline xmlns:a="http://schemas.openxmlformats.org/drawingml/2006/main" xmlns:pic="http://schemas.openxmlformats.org/drawingml/2006/picture">
            <wp:extent cx="5029200" cy="3280153"/>
            <wp:docPr id="11" name="Picture 11"/>
            <wp:cNvGraphicFramePr>
              <a:graphicFrameLocks noChangeAspect="1"/>
            </wp:cNvGraphicFramePr>
            <a:graphic>
              <a:graphicData uri="http://schemas.openxmlformats.org/drawingml/2006/picture">
                <pic:pic>
                  <pic:nvPicPr>
                    <pic:cNvPr id="0" name="stakeholder_population_coverage.png"/>
                    <pic:cNvPicPr/>
                  </pic:nvPicPr>
                  <pic:blipFill>
                    <a:blip r:embed="rId19"/>
                    <a:stretch>
                      <a:fillRect/>
                    </a:stretch>
                  </pic:blipFill>
                  <pic:spPr>
                    <a:xfrm>
                      <a:off x="0" y="0"/>
                      <a:ext cx="5029200" cy="3280153"/>
                    </a:xfrm>
                    <a:prstGeom prst="rect"/>
                  </pic:spPr>
                </pic:pic>
              </a:graphicData>
            </a:graphic>
          </wp:inline>
        </w:drawing>
      </w:r>
    </w:p>
    <w:p/>
    <w:p>
      <w:pPr>
        <w:pStyle w:val="Heading2"/>
      </w:pPr>
      <w:r>
        <w:t>ROC and Precision-Recall Curves</w:t>
      </w:r>
    </w:p>
    <w:p>
      <w:pPr>
        <w:jc w:val="center"/>
      </w:pPr>
      <w:r>
        <w:drawing>
          <wp:inline xmlns:a="http://schemas.openxmlformats.org/drawingml/2006/main" xmlns:pic="http://schemas.openxmlformats.org/drawingml/2006/picture">
            <wp:extent cx="5029200" cy="2007184"/>
            <wp:docPr id="12" name="Picture 12"/>
            <wp:cNvGraphicFramePr>
              <a:graphicFrameLocks noChangeAspect="1"/>
            </wp:cNvGraphicFramePr>
            <a:graphic>
              <a:graphicData uri="http://schemas.openxmlformats.org/drawingml/2006/picture">
                <pic:pic>
                  <pic:nvPicPr>
                    <pic:cNvPr id="0" name="stakeholder_roc_pr_curves.png"/>
                    <pic:cNvPicPr/>
                  </pic:nvPicPr>
                  <pic:blipFill>
                    <a:blip r:embed="rId20"/>
                    <a:stretch>
                      <a:fillRect/>
                    </a:stretch>
                  </pic:blipFill>
                  <pic:spPr>
                    <a:xfrm>
                      <a:off x="0" y="0"/>
                      <a:ext cx="5029200" cy="2007184"/>
                    </a:xfrm>
                    <a:prstGeom prst="rect"/>
                  </pic:spPr>
                </pic:pic>
              </a:graphicData>
            </a:graphic>
          </wp:inline>
        </w:drawing>
      </w:r>
    </w:p>
    <w:p/>
    <w:p>
      <w:pPr>
        <w:pStyle w:val="Heading2"/>
      </w:pPr>
      <w:r>
        <w:t>AUC Lift vs Benchmarks</w:t>
      </w:r>
    </w:p>
    <w:p>
      <w:pPr>
        <w:jc w:val="center"/>
      </w:pPr>
      <w:r>
        <w:drawing>
          <wp:inline xmlns:a="http://schemas.openxmlformats.org/drawingml/2006/main" xmlns:pic="http://schemas.openxmlformats.org/drawingml/2006/picture">
            <wp:extent cx="5029200" cy="2519639"/>
            <wp:docPr id="13" name="Picture 13"/>
            <wp:cNvGraphicFramePr>
              <a:graphicFrameLocks noChangeAspect="1"/>
            </wp:cNvGraphicFramePr>
            <a:graphic>
              <a:graphicData uri="http://schemas.openxmlformats.org/drawingml/2006/picture">
                <pic:pic>
                  <pic:nvPicPr>
                    <pic:cNvPr id="0" name="stakeholder_auc_lift.png"/>
                    <pic:cNvPicPr/>
                  </pic:nvPicPr>
                  <pic:blipFill>
                    <a:blip r:embed="rId21"/>
                    <a:stretch>
                      <a:fillRect/>
                    </a:stretch>
                  </pic:blipFill>
                  <pic:spPr>
                    <a:xfrm>
                      <a:off x="0" y="0"/>
                      <a:ext cx="5029200" cy="25196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