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Selection Bias Analysis: Score Discriminance Under Range Restriction</w:t>
      </w:r>
    </w:p>
    <w:p>
      <w:pPr>
        <w:pStyle w:val="Heading1"/>
      </w:pPr>
      <w:r>
        <w:t>Executive Summary</w:t>
      </w:r>
    </w:p>
    <w:p>
      <w:pPr/>
      <w:r>
        <w:t xml:space="preserve">This analysis investigates whether the low observed Gini of </w:t>
      </w:r>
      <w:r>
        <w:rPr>
          <w:rFonts w:ascii="Consolas" w:hAnsi="Consolas"/>
          <w:color w:val="2C3E50"/>
          <w:sz w:val="18"/>
        </w:rPr>
        <w:t>score_rf</w:t>
      </w:r>
      <w:r>
        <w:t xml:space="preserve"> and </w:t>
      </w:r>
      <w:r>
        <w:rPr>
          <w:rFonts w:ascii="Consolas" w:hAnsi="Consolas"/>
          <w:color w:val="2C3E50"/>
          <w:sz w:val="18"/>
        </w:rPr>
        <w:t>risk_score_rf</w:t>
      </w:r>
      <w:r>
        <w:t xml:space="preserve"> can be attributed to </w:t>
      </w:r>
      <w:r>
        <w:rPr>
          <w:b/>
        </w:rPr>
        <w:t>selection bias</w:t>
      </w:r>
      <w:r>
        <w:t xml:space="preserve"> (range restriction from the acceptance policy). Six complementary analyses were run at the reporting-supersegment level ("known", "others") and total.</w:t>
      </w:r>
    </w:p>
    <w:p>
      <w:pPr/>
      <w:r/>
      <w:r>
        <w:rPr>
          <w:b/>
        </w:rPr>
        <w:t>Key findings:</w:t>
      </w:r>
      <w:r/>
    </w:p>
    <w:p>
      <w:pPr>
        <w:pStyle w:val="ListBullet"/>
      </w:pPr>
      <w:r/>
      <w:r>
        <w:rPr>
          <w:b/>
        </w:rPr>
        <w:t>Risk Score RF</w:t>
      </w:r>
      <w:r>
        <w:t xml:space="preserve"> shows genuine selection bias attenuation of </w:t>
      </w:r>
      <w:r>
        <w:rPr>
          <w:b/>
        </w:rPr>
        <w:t>14-19%</w:t>
      </w:r>
      <w:r>
        <w:t>. The Thorndike-corrected Gini is 0.41-0.53 vs observed 0.35-0.45.</w:t>
      </w:r>
    </w:p>
    <w:p>
      <w:pPr>
        <w:pStyle w:val="ListBullet"/>
      </w:pPr>
      <w:r/>
      <w:r>
        <w:rPr>
          <w:b/>
        </w:rPr>
        <w:t>Score RF</w:t>
      </w:r>
      <w:r>
        <w:t xml:space="preserve"> in "known" (Gini = 0.23) is </w:t>
      </w:r>
      <w:r>
        <w:rPr>
          <w:b/>
        </w:rPr>
        <w:t>not primarily explained</w:t>
      </w:r>
      <w:r>
        <w:t xml:space="preserve"> by selection bias. The variance ratio is 0.92 (mild restriction) and the Thorndike correction recovers only 7.6%. The low Gini reflects genuinely weak discriminance on this population.</w:t>
      </w:r>
    </w:p>
    <w:p>
      <w:pPr>
        <w:pStyle w:val="ListBullet"/>
      </w:pPr>
      <w:r/>
      <w:r>
        <w:rPr>
          <w:b/>
        </w:rPr>
        <w:t>Score RF</w:t>
      </w:r>
      <w:r>
        <w:t xml:space="preserve"> in "others" shows </w:t>
      </w:r>
      <w:r>
        <w:rPr>
          <w:b/>
        </w:rPr>
        <w:t>no attenuation</w:t>
      </w:r>
      <w:r>
        <w:t xml:space="preserve"> (u &gt; 1) — the booked population is actually more dispersed than demand, because selection in this group is driven by non-score factors (only 2.4% acceptance rate, nearly all rejection is policy-based, not score-based).</w:t>
      </w:r>
    </w:p>
    <w:p>
      <w:pPr>
        <w:pStyle w:val="ListBullet"/>
      </w:pPr>
      <w:r>
        <w:t xml:space="preserve">The </w:t>
      </w:r>
      <w:r>
        <w:rPr>
          <w:b/>
        </w:rPr>
        <w:t>Combined</w:t>
      </w:r>
      <w:r>
        <w:t xml:space="preserve"> logistic score (score_rf + risk_score_rf) consistently outperforms both individual scores (Gini 0.37-0.64) and is more robust to selection effects.</w:t>
      </w:r>
    </w:p>
    <w:p>
      <w:pPr>
        <w:pStyle w:val="Heading1"/>
      </w:pPr>
      <w:r>
        <w:t>Methodology</w:t>
      </w:r>
    </w:p>
    <w:p>
      <w:pPr>
        <w:pStyle w:val="Heading2"/>
      </w:pPr>
      <w:r>
        <w:t>Analysis 1: Distribution Truncation</w:t>
      </w:r>
    </w:p>
    <w:p>
      <w:pPr/>
      <w:r>
        <w:t xml:space="preserve">When the acceptance policy selects applicants based on their score, the booked population has a </w:t>
      </w:r>
      <w:r>
        <w:rPr>
          <w:b/>
        </w:rPr>
        <w:t>narrower score distribution</w:t>
      </w:r>
      <w:r>
        <w:t xml:space="preserve"> than the full demand. The </w:t>
      </w:r>
      <w:r>
        <w:rPr>
          <w:b/>
        </w:rPr>
        <w:t>variance ratio</w:t>
      </w:r>
      <w:r>
        <w:t xml:space="preserve"> quantifies this:</w:t>
      </w:r>
    </w:p>
    <w:p>
      <w:pPr/>
      <w:r>
        <w:t>u = SD(score | booked) / SD(score | demand)</w:t>
      </w:r>
    </w:p>
    <w:p>
      <w:pPr/>
      <w:r>
        <w:t>A value u &lt; 1 indicates truncation (range restriction). A two-sample Kolmogorov-Smirnov test confirms distributional shift.</w:t>
      </w:r>
    </w:p>
    <w:p>
      <w:pPr>
        <w:pStyle w:val="Heading2"/>
      </w:pPr>
      <w:r>
        <w:t>Analysis 2: Thorndike Case 2 Correction</w:t>
      </w:r>
    </w:p>
    <w:p>
      <w:pPr/>
      <w:r>
        <w:t xml:space="preserve">Given a known variance ratio u, Thorndike's (1949) formula estimates the Gini that would be observed on the </w:t>
      </w:r>
      <w:r>
        <w:rPr>
          <w:b/>
        </w:rPr>
        <w:t>unrestricted</w:t>
      </w:r>
      <w:r>
        <w:t xml:space="preserve"> population:</w:t>
      </w:r>
    </w:p>
    <w:p>
      <w:pPr>
        <w:pStyle w:val="ListNumber"/>
      </w:pPr>
      <w:r>
        <w:t>Convert observed Gini to AUC, then to point-biserial correlation r via the normal-ogive model:</w:t>
      </w:r>
    </w:p>
    <w:p>
      <w:pPr/>
      <w:r/>
      <w:r>
        <w:rPr>
          <w:rFonts w:ascii="Consolas" w:hAnsi="Consolas"/>
          <w:color w:val="2C3E50"/>
          <w:sz w:val="18"/>
        </w:rPr>
        <w:t>d' = sqrt(2) * Phi^{-1}(AUC)</w:t>
      </w:r>
      <w:r>
        <w:t xml:space="preserve">, then </w:t>
      </w:r>
      <w:r>
        <w:rPr>
          <w:rFonts w:ascii="Consolas" w:hAnsi="Consolas"/>
          <w:color w:val="2C3E50"/>
          <w:sz w:val="18"/>
        </w:rPr>
        <w:t>r = d' / sqrt(1 + d'^2)</w:t>
      </w:r>
      <w:r>
        <w:t>.</w:t>
      </w:r>
    </w:p>
    <w:p>
      <w:pPr>
        <w:pStyle w:val="ListNumber"/>
      </w:pPr>
      <w:r>
        <w:t>Apply Thorndike Case 2:</w:t>
      </w:r>
    </w:p>
    <w:p>
      <w:pPr/>
      <w:r/>
      <w:r>
        <w:rPr>
          <w:rFonts w:ascii="Consolas" w:hAnsi="Consolas"/>
          <w:color w:val="2C3E50"/>
          <w:sz w:val="18"/>
        </w:rPr>
        <w:t>r_corrected = r_observed / (u * sqrt(1 + r^2 * (1/u^2 - 1)))</w:t>
      </w:r>
      <w:r/>
    </w:p>
    <w:p>
      <w:pPr>
        <w:pStyle w:val="ListNumber"/>
      </w:pPr>
      <w:r>
        <w:t>Convert back to AUC and Gini.</w:t>
      </w:r>
    </w:p>
    <w:p>
      <w:pPr/>
      <w:r/>
      <w:r>
        <w:rPr>
          <w:b/>
        </w:rPr>
        <w:t>Assumption</w:t>
      </w:r>
      <w:r>
        <w:t>: bivariate normality and direct selection on the predictor. Credit scores violate normality, so the correction is approximate (likely an upper bound).</w:t>
      </w:r>
    </w:p>
    <w:p>
      <w:pPr>
        <w:pStyle w:val="Heading2"/>
      </w:pPr>
      <w:r>
        <w:t>Analysis 3: Simulated Range Restriction</w:t>
      </w:r>
    </w:p>
    <w:p>
      <w:pPr/>
      <w:r>
        <w:t>Starting from the full booked population, progressively remove the riskiest percentiles (bottom 5%, 10%, ..., 50% by score) and recompute Gini at each step. This demonstrates empirically how Gini degrades with truncation — without requiring any distributional assumptions.</w:t>
      </w:r>
    </w:p>
    <w:p>
      <w:pPr>
        <w:pStyle w:val="Heading2"/>
      </w:pPr>
      <w:r>
        <w:t>Analysis 4: Temporal Acceptance Rate vs Gini</w:t>
      </w:r>
    </w:p>
    <w:p>
      <w:pPr/>
      <w:r>
        <w:t xml:space="preserve">Pair the rolling 3-month Gini (already computed in </w:t>
      </w:r>
      <w:r>
        <w:rPr>
          <w:rFonts w:ascii="Consolas" w:hAnsi="Consolas"/>
          <w:color w:val="2C3E50"/>
          <w:sz w:val="18"/>
        </w:rPr>
        <w:t>run_score_metrics.py</w:t>
      </w:r>
      <w:r>
        <w:t xml:space="preserve">) with a rolling 3-month acceptance rate on the same windows. If acceptance rate varies over time and Gini co-moves, this provides a </w:t>
      </w:r>
      <w:r>
        <w:rPr>
          <w:b/>
        </w:rPr>
        <w:t>natural experiment</w:t>
      </w:r>
      <w:r>
        <w:t xml:space="preserve"> controlling for population composition.</w:t>
      </w:r>
    </w:p>
    <w:p>
      <w:pPr>
        <w:pStyle w:val="Heading2"/>
      </w:pPr>
      <w:r>
        <w:t>Analysis 5: Rejection Profile by Score Decile</w:t>
      </w:r>
    </w:p>
    <w:p>
      <w:pPr/>
      <w:r>
        <w:t>Compute booked vs rejected counts by score decile across the full demand population. Confirms whether rejection concentrates in the risky tail (as expected under score-based selection).</w:t>
      </w:r>
    </w:p>
    <w:p>
      <w:pPr>
        <w:pStyle w:val="Heading2"/>
      </w:pPr>
      <w:r>
        <w:t>Analysis 6: Cross-Group Acceptance Rate vs Gini</w:t>
      </w:r>
    </w:p>
    <w:p>
      <w:pPr/>
      <w:r>
        <w:t xml:space="preserve">Scatter supersegments + total on (acceptance_rate, Gini). A positive slope would suggest selection bias: groups with higher acceptance rates (less truncation) show higher Gini. This analysis is </w:t>
      </w:r>
      <w:r>
        <w:rPr>
          <w:b/>
        </w:rPr>
        <w:t>supplementary only</w:t>
      </w:r>
      <w:r>
        <w:t xml:space="preserve"> — with 3 data points and confounded population differences, statistical power is very low.</w:t>
      </w:r>
    </w:p>
    <w:p>
      <w:pPr>
        <w:pStyle w:val="Heading1"/>
      </w:pPr>
      <w:r>
        <w:t>Results</w:t>
      </w:r>
    </w:p>
    <w:p>
      <w:pPr>
        <w:pStyle w:val="Heading2"/>
      </w:pPr>
      <w:r>
        <w:t>1. Distribution Truncation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after="0" w:before="0"/>
            </w:pPr>
            <w:r>
              <w:rPr>
                <w:b/>
                <w:sz w:val="18"/>
              </w:rPr>
              <w:t>Group</w:t>
            </w:r>
          </w:p>
        </w:tc>
        <w:tc>
          <w:tcPr>
            <w:tcW w:type="dxa" w:w="1080"/>
          </w:tcPr>
          <w:p>
            <w:pPr>
              <w:spacing w:after="0" w:before="0"/>
            </w:pPr>
            <w:r>
              <w:rPr>
                <w:b/>
                <w:sz w:val="18"/>
              </w:rPr>
              <w:t>Score</w:t>
            </w:r>
          </w:p>
        </w:tc>
        <w:tc>
          <w:tcPr>
            <w:tcW w:type="dxa" w:w="1080"/>
          </w:tcPr>
          <w:p>
            <w:pPr>
              <w:spacing w:after="0" w:before="0"/>
            </w:pPr>
            <w:r>
              <w:rPr>
                <w:b/>
                <w:sz w:val="18"/>
              </w:rPr>
              <w:t>Acceptance Rate</w:t>
            </w:r>
          </w:p>
        </w:tc>
        <w:tc>
          <w:tcPr>
            <w:tcW w:type="dxa" w:w="1080"/>
          </w:tcPr>
          <w:p>
            <w:pPr>
              <w:spacing w:after="0" w:before="0"/>
            </w:pPr>
            <w:r>
              <w:rPr>
                <w:b/>
                <w:sz w:val="18"/>
              </w:rPr>
              <w:t>u ratio</w:t>
            </w:r>
          </w:p>
        </w:tc>
        <w:tc>
          <w:tcPr>
            <w:tcW w:type="dxa" w:w="1080"/>
          </w:tcPr>
          <w:p>
            <w:pPr>
              <w:spacing w:after="0" w:before="0"/>
            </w:pPr>
            <w:r>
              <w:rPr>
                <w:b/>
                <w:sz w:val="18"/>
              </w:rPr>
              <w:t>SD demand</w:t>
            </w:r>
          </w:p>
        </w:tc>
        <w:tc>
          <w:tcPr>
            <w:tcW w:type="dxa" w:w="1080"/>
          </w:tcPr>
          <w:p>
            <w:pPr>
              <w:spacing w:after="0" w:before="0"/>
            </w:pPr>
            <w:r>
              <w:rPr>
                <w:b/>
                <w:sz w:val="18"/>
              </w:rPr>
              <w:t>SD booked</w:t>
            </w:r>
          </w:p>
        </w:tc>
        <w:tc>
          <w:tcPr>
            <w:tcW w:type="dxa" w:w="1080"/>
          </w:tcPr>
          <w:p>
            <w:pPr>
              <w:spacing w:after="0" w:before="0"/>
            </w:pPr>
            <w:r>
              <w:rPr>
                <w:b/>
                <w:sz w:val="18"/>
              </w:rPr>
              <w:t>KS stat</w:t>
            </w:r>
          </w:p>
        </w:tc>
        <w:tc>
          <w:tcPr>
            <w:tcW w:type="dxa" w:w="1080"/>
          </w:tcPr>
          <w:p>
            <w:pPr>
              <w:spacing w:after="0" w:before="0"/>
            </w:pPr>
            <w:r>
              <w:rPr>
                <w:b/>
                <w:sz w:val="18"/>
              </w:rPr>
              <w:t>KS p-value</w:t>
            </w:r>
          </w:p>
        </w:tc>
      </w:tr>
      <w:tr>
        <w:tc>
          <w:tcPr>
            <w:tcW w:type="dxa" w:w="1080"/>
          </w:tcPr>
          <w:p>
            <w:pPr>
              <w:spacing w:after="0" w:before="0"/>
            </w:pPr>
            <w:r>
              <w:rPr>
                <w:sz w:val="18"/>
              </w:rPr>
              <w:t>-------</w:t>
            </w:r>
          </w:p>
        </w:tc>
        <w:tc>
          <w:tcPr>
            <w:tcW w:type="dxa" w:w="1080"/>
          </w:tcPr>
          <w:p>
            <w:pPr>
              <w:spacing w:after="0" w:before="0"/>
            </w:pPr>
            <w:r>
              <w:rPr>
                <w:sz w:val="18"/>
              </w:rPr>
              <w:t>-------</w:t>
            </w:r>
          </w:p>
        </w:tc>
        <w:tc>
          <w:tcPr>
            <w:tcW w:type="dxa" w:w="1080"/>
          </w:tcPr>
          <w:p>
            <w:pPr>
              <w:spacing w:after="0" w:before="0"/>
            </w:pPr>
            <w:r>
              <w:rPr>
                <w:sz w:val="18"/>
              </w:rPr>
              <w:t>:-:</w:t>
            </w:r>
          </w:p>
        </w:tc>
        <w:tc>
          <w:tcPr>
            <w:tcW w:type="dxa" w:w="1080"/>
          </w:tcPr>
          <w:p>
            <w:pPr>
              <w:spacing w:after="0" w:before="0"/>
            </w:pPr>
            <w:r>
              <w:rPr>
                <w:sz w:val="18"/>
              </w:rPr>
              <w:t>:-:</w:t>
            </w:r>
          </w:p>
        </w:tc>
        <w:tc>
          <w:tcPr>
            <w:tcW w:type="dxa" w:w="1080"/>
          </w:tcPr>
          <w:p>
            <w:pPr>
              <w:spacing w:after="0" w:before="0"/>
            </w:pPr>
            <w:r>
              <w:rPr>
                <w:sz w:val="18"/>
              </w:rPr>
              <w:t>:-:</w:t>
            </w:r>
          </w:p>
        </w:tc>
        <w:tc>
          <w:tcPr>
            <w:tcW w:type="dxa" w:w="1080"/>
          </w:tcPr>
          <w:p>
            <w:pPr>
              <w:spacing w:after="0" w:before="0"/>
            </w:pPr>
            <w:r>
              <w:rPr>
                <w:sz w:val="18"/>
              </w:rPr>
              <w:t>:-:</w:t>
            </w:r>
          </w:p>
        </w:tc>
        <w:tc>
          <w:tcPr>
            <w:tcW w:type="dxa" w:w="1080"/>
          </w:tcPr>
          <w:p>
            <w:pPr>
              <w:spacing w:after="0" w:before="0"/>
            </w:pPr>
            <w:r>
              <w:rPr>
                <w:sz w:val="18"/>
              </w:rPr>
              <w:t>:-:</w:t>
            </w:r>
          </w:p>
        </w:tc>
        <w:tc>
          <w:tcPr>
            <w:tcW w:type="dxa" w:w="1080"/>
          </w:tcPr>
          <w:p>
            <w:pPr>
              <w:spacing w:after="0" w:before="0"/>
            </w:pPr>
            <w:r>
              <w:rPr>
                <w:sz w:val="18"/>
              </w:rPr>
              <w:t>:-:</w:t>
            </w:r>
          </w:p>
        </w:tc>
      </w:tr>
      <w:tr>
        <w:tc>
          <w:tcPr>
            <w:tcW w:type="dxa" w:w="1080"/>
          </w:tcPr>
          <w:p>
            <w:pPr>
              <w:spacing w:after="0" w:before="0"/>
            </w:pPr>
            <w:r>
              <w:rPr>
                <w:sz w:val="18"/>
              </w:rPr>
              <w:t>known</w:t>
            </w:r>
          </w:p>
        </w:tc>
        <w:tc>
          <w:tcPr>
            <w:tcW w:type="dxa" w:w="1080"/>
          </w:tcPr>
          <w:p>
            <w:pPr>
              <w:spacing w:after="0" w:before="0"/>
            </w:pPr>
            <w:r>
              <w:rPr>
                <w:sz w:val="18"/>
              </w:rPr>
              <w:t>Score RF</w:t>
            </w:r>
          </w:p>
        </w:tc>
        <w:tc>
          <w:tcPr>
            <w:tcW w:type="dxa" w:w="1080"/>
          </w:tcPr>
          <w:p>
            <w:pPr>
              <w:spacing w:after="0" w:before="0"/>
            </w:pPr>
            <w:r>
              <w:rPr>
                <w:sz w:val="18"/>
              </w:rPr>
              <w:t>15.4%</w:t>
            </w:r>
          </w:p>
        </w:tc>
        <w:tc>
          <w:tcPr>
            <w:tcW w:type="dxa" w:w="1080"/>
          </w:tcPr>
          <w:p>
            <w:pPr>
              <w:spacing w:after="0" w:before="0"/>
            </w:pPr>
            <w:r>
              <w:rPr>
                <w:sz w:val="18"/>
              </w:rPr>
              <w:t>0.921</w:t>
            </w:r>
          </w:p>
        </w:tc>
        <w:tc>
          <w:tcPr>
            <w:tcW w:type="dxa" w:w="1080"/>
          </w:tcPr>
          <w:p>
            <w:pPr>
              <w:spacing w:after="0" w:before="0"/>
            </w:pPr>
            <w:r>
              <w:rPr>
                <w:sz w:val="18"/>
              </w:rPr>
              <w:t>28.64</w:t>
            </w:r>
          </w:p>
        </w:tc>
        <w:tc>
          <w:tcPr>
            <w:tcW w:type="dxa" w:w="1080"/>
          </w:tcPr>
          <w:p>
            <w:pPr>
              <w:spacing w:after="0" w:before="0"/>
            </w:pPr>
            <w:r>
              <w:rPr>
                <w:sz w:val="18"/>
              </w:rPr>
              <w:t>26.39</w:t>
            </w:r>
          </w:p>
        </w:tc>
        <w:tc>
          <w:tcPr>
            <w:tcW w:type="dxa" w:w="1080"/>
          </w:tcPr>
          <w:p>
            <w:pPr>
              <w:spacing w:after="0" w:before="0"/>
            </w:pPr>
            <w:r>
              <w:rPr>
                <w:sz w:val="18"/>
              </w:rPr>
              <w:t>0.200</w:t>
            </w:r>
          </w:p>
        </w:tc>
        <w:tc>
          <w:tcPr>
            <w:tcW w:type="dxa" w:w="1080"/>
          </w:tcPr>
          <w:p>
            <w:pPr>
              <w:spacing w:after="0" w:before="0"/>
            </w:pPr>
            <w:r>
              <w:rPr>
                <w:sz w:val="18"/>
              </w:rPr>
              <w:t>0.0</w:t>
            </w:r>
          </w:p>
        </w:tc>
      </w:tr>
      <w:tr>
        <w:tc>
          <w:tcPr>
            <w:tcW w:type="dxa" w:w="1080"/>
          </w:tcPr>
          <w:p>
            <w:pPr>
              <w:spacing w:after="0" w:before="0"/>
            </w:pPr>
            <w:r>
              <w:rPr>
                <w:sz w:val="18"/>
              </w:rPr>
              <w:t>known</w:t>
            </w:r>
          </w:p>
        </w:tc>
        <w:tc>
          <w:tcPr>
            <w:tcW w:type="dxa" w:w="1080"/>
          </w:tcPr>
          <w:p>
            <w:pPr>
              <w:spacing w:after="0" w:before="0"/>
            </w:pPr>
            <w:r>
              <w:rPr>
                <w:sz w:val="18"/>
              </w:rPr>
              <w:t>Risk Score RF</w:t>
            </w:r>
          </w:p>
        </w:tc>
        <w:tc>
          <w:tcPr>
            <w:tcW w:type="dxa" w:w="1080"/>
          </w:tcPr>
          <w:p>
            <w:pPr>
              <w:spacing w:after="0" w:before="0"/>
            </w:pPr>
            <w:r>
              <w:rPr>
                <w:sz w:val="18"/>
              </w:rPr>
              <w:t>15.4%</w:t>
            </w:r>
          </w:p>
        </w:tc>
        <w:tc>
          <w:tcPr>
            <w:tcW w:type="dxa" w:w="1080"/>
          </w:tcPr>
          <w:p>
            <w:pPr>
              <w:spacing w:after="0" w:before="0"/>
            </w:pPr>
            <w:r>
              <w:rPr>
                <w:sz w:val="18"/>
              </w:rPr>
              <w:t>0.845</w:t>
            </w:r>
          </w:p>
        </w:tc>
        <w:tc>
          <w:tcPr>
            <w:tcW w:type="dxa" w:w="1080"/>
          </w:tcPr>
          <w:p>
            <w:pPr>
              <w:spacing w:after="0" w:before="0"/>
            </w:pPr>
            <w:r>
              <w:rPr>
                <w:sz w:val="18"/>
              </w:rPr>
              <w:t>26.71</w:t>
            </w:r>
          </w:p>
        </w:tc>
        <w:tc>
          <w:tcPr>
            <w:tcW w:type="dxa" w:w="1080"/>
          </w:tcPr>
          <w:p>
            <w:pPr>
              <w:spacing w:after="0" w:before="0"/>
            </w:pPr>
            <w:r>
              <w:rPr>
                <w:sz w:val="18"/>
              </w:rPr>
              <w:t>22.57</w:t>
            </w:r>
          </w:p>
        </w:tc>
        <w:tc>
          <w:tcPr>
            <w:tcW w:type="dxa" w:w="1080"/>
          </w:tcPr>
          <w:p>
            <w:pPr>
              <w:spacing w:after="0" w:before="0"/>
            </w:pPr>
            <w:r>
              <w:rPr>
                <w:sz w:val="18"/>
              </w:rPr>
              <w:t>0.199</w:t>
            </w:r>
          </w:p>
        </w:tc>
        <w:tc>
          <w:tcPr>
            <w:tcW w:type="dxa" w:w="1080"/>
          </w:tcPr>
          <w:p>
            <w:pPr>
              <w:spacing w:after="0" w:before="0"/>
            </w:pPr>
            <w:r>
              <w:rPr>
                <w:sz w:val="18"/>
              </w:rPr>
              <w:t>0.0</w:t>
            </w:r>
          </w:p>
        </w:tc>
      </w:tr>
      <w:tr>
        <w:tc>
          <w:tcPr>
            <w:tcW w:type="dxa" w:w="1080"/>
          </w:tcPr>
          <w:p>
            <w:pPr>
              <w:spacing w:after="0" w:before="0"/>
            </w:pPr>
            <w:r>
              <w:rPr>
                <w:sz w:val="18"/>
              </w:rPr>
              <w:t>others</w:t>
            </w:r>
          </w:p>
        </w:tc>
        <w:tc>
          <w:tcPr>
            <w:tcW w:type="dxa" w:w="1080"/>
          </w:tcPr>
          <w:p>
            <w:pPr>
              <w:spacing w:after="0" w:before="0"/>
            </w:pPr>
            <w:r>
              <w:rPr>
                <w:sz w:val="18"/>
              </w:rPr>
              <w:t>Score RF</w:t>
            </w:r>
          </w:p>
        </w:tc>
        <w:tc>
          <w:tcPr>
            <w:tcW w:type="dxa" w:w="1080"/>
          </w:tcPr>
          <w:p>
            <w:pPr>
              <w:spacing w:after="0" w:before="0"/>
            </w:pPr>
            <w:r>
              <w:rPr>
                <w:sz w:val="18"/>
              </w:rPr>
              <w:t>2.4%</w:t>
            </w:r>
          </w:p>
        </w:tc>
        <w:tc>
          <w:tcPr>
            <w:tcW w:type="dxa" w:w="1080"/>
          </w:tcPr>
          <w:p>
            <w:pPr>
              <w:spacing w:after="0" w:before="0"/>
            </w:pPr>
            <w:r>
              <w:rPr>
                <w:sz w:val="18"/>
              </w:rPr>
              <w:t>1.262</w:t>
            </w:r>
          </w:p>
        </w:tc>
        <w:tc>
          <w:tcPr>
            <w:tcW w:type="dxa" w:w="1080"/>
          </w:tcPr>
          <w:p>
            <w:pPr>
              <w:spacing w:after="0" w:before="0"/>
            </w:pPr>
            <w:r>
              <w:rPr>
                <w:sz w:val="18"/>
              </w:rPr>
              <w:t>22.52</w:t>
            </w:r>
          </w:p>
        </w:tc>
        <w:tc>
          <w:tcPr>
            <w:tcW w:type="dxa" w:w="1080"/>
          </w:tcPr>
          <w:p>
            <w:pPr>
              <w:spacing w:after="0" w:before="0"/>
            </w:pPr>
            <w:r>
              <w:rPr>
                <w:sz w:val="18"/>
              </w:rPr>
              <w:t>28.41</w:t>
            </w:r>
          </w:p>
        </w:tc>
        <w:tc>
          <w:tcPr>
            <w:tcW w:type="dxa" w:w="1080"/>
          </w:tcPr>
          <w:p>
            <w:pPr>
              <w:spacing w:after="0" w:before="0"/>
            </w:pPr>
            <w:r>
              <w:rPr>
                <w:sz w:val="18"/>
              </w:rPr>
              <w:t>0.514</w:t>
            </w:r>
          </w:p>
        </w:tc>
        <w:tc>
          <w:tcPr>
            <w:tcW w:type="dxa" w:w="1080"/>
          </w:tcPr>
          <w:p>
            <w:pPr>
              <w:spacing w:after="0" w:before="0"/>
            </w:pPr>
            <w:r>
              <w:rPr>
                <w:sz w:val="18"/>
              </w:rPr>
              <w:t>0.0</w:t>
            </w:r>
          </w:p>
        </w:tc>
      </w:tr>
      <w:tr>
        <w:tc>
          <w:tcPr>
            <w:tcW w:type="dxa" w:w="1080"/>
          </w:tcPr>
          <w:p>
            <w:pPr>
              <w:spacing w:after="0" w:before="0"/>
            </w:pPr>
            <w:r>
              <w:rPr>
                <w:sz w:val="18"/>
              </w:rPr>
              <w:t>others</w:t>
            </w:r>
          </w:p>
        </w:tc>
        <w:tc>
          <w:tcPr>
            <w:tcW w:type="dxa" w:w="1080"/>
          </w:tcPr>
          <w:p>
            <w:pPr>
              <w:spacing w:after="0" w:before="0"/>
            </w:pPr>
            <w:r>
              <w:rPr>
                <w:sz w:val="18"/>
              </w:rPr>
              <w:t>Risk Score RF</w:t>
            </w:r>
          </w:p>
        </w:tc>
        <w:tc>
          <w:tcPr>
            <w:tcW w:type="dxa" w:w="1080"/>
          </w:tcPr>
          <w:p>
            <w:pPr>
              <w:spacing w:after="0" w:before="0"/>
            </w:pPr>
            <w:r>
              <w:rPr>
                <w:sz w:val="18"/>
              </w:rPr>
              <w:t>2.4%</w:t>
            </w:r>
          </w:p>
        </w:tc>
        <w:tc>
          <w:tcPr>
            <w:tcW w:type="dxa" w:w="1080"/>
          </w:tcPr>
          <w:p>
            <w:pPr>
              <w:spacing w:after="0" w:before="0"/>
            </w:pPr>
            <w:r>
              <w:rPr>
                <w:sz w:val="18"/>
              </w:rPr>
              <w:t>0.834</w:t>
            </w:r>
          </w:p>
        </w:tc>
        <w:tc>
          <w:tcPr>
            <w:tcW w:type="dxa" w:w="1080"/>
          </w:tcPr>
          <w:p>
            <w:pPr>
              <w:spacing w:after="0" w:before="0"/>
            </w:pPr>
            <w:r>
              <w:rPr>
                <w:sz w:val="18"/>
              </w:rPr>
              <w:t>28.94</w:t>
            </w:r>
          </w:p>
        </w:tc>
        <w:tc>
          <w:tcPr>
            <w:tcW w:type="dxa" w:w="1080"/>
          </w:tcPr>
          <w:p>
            <w:pPr>
              <w:spacing w:after="0" w:before="0"/>
            </w:pPr>
            <w:r>
              <w:rPr>
                <w:sz w:val="18"/>
              </w:rPr>
              <w:t>24.13</w:t>
            </w:r>
          </w:p>
        </w:tc>
        <w:tc>
          <w:tcPr>
            <w:tcW w:type="dxa" w:w="1080"/>
          </w:tcPr>
          <w:p>
            <w:pPr>
              <w:spacing w:after="0" w:before="0"/>
            </w:pPr>
            <w:r>
              <w:rPr>
                <w:sz w:val="18"/>
              </w:rPr>
              <w:t>0.374</w:t>
            </w:r>
          </w:p>
        </w:tc>
        <w:tc>
          <w:tcPr>
            <w:tcW w:type="dxa" w:w="1080"/>
          </w:tcPr>
          <w:p>
            <w:pPr>
              <w:spacing w:after="0" w:before="0"/>
            </w:pPr>
            <w:r>
              <w:rPr>
                <w:sz w:val="18"/>
              </w:rPr>
              <w:t>0.0</w:t>
            </w:r>
          </w:p>
        </w:tc>
      </w:tr>
      <w:tr>
        <w:tc>
          <w:tcPr>
            <w:tcW w:type="dxa" w:w="1080"/>
          </w:tcPr>
          <w:p>
            <w:pPr>
              <w:spacing w:after="0" w:before="0"/>
            </w:pPr>
            <w:r>
              <w:rPr>
                <w:sz w:val="18"/>
              </w:rPr>
              <w:t>total</w:t>
            </w:r>
          </w:p>
        </w:tc>
        <w:tc>
          <w:tcPr>
            <w:tcW w:type="dxa" w:w="1080"/>
          </w:tcPr>
          <w:p>
            <w:pPr>
              <w:spacing w:after="0" w:before="0"/>
            </w:pPr>
            <w:r>
              <w:rPr>
                <w:sz w:val="18"/>
              </w:rPr>
              <w:t>Score RF</w:t>
            </w:r>
          </w:p>
        </w:tc>
        <w:tc>
          <w:tcPr>
            <w:tcW w:type="dxa" w:w="1080"/>
          </w:tcPr>
          <w:p>
            <w:pPr>
              <w:spacing w:after="0" w:before="0"/>
            </w:pPr>
            <w:r>
              <w:rPr>
                <w:sz w:val="18"/>
              </w:rPr>
              <w:t>7.1%</w:t>
            </w:r>
          </w:p>
        </w:tc>
        <w:tc>
          <w:tcPr>
            <w:tcW w:type="dxa" w:w="1080"/>
          </w:tcPr>
          <w:p>
            <w:pPr>
              <w:spacing w:after="0" w:before="0"/>
            </w:pPr>
            <w:r>
              <w:rPr>
                <w:sz w:val="18"/>
              </w:rPr>
              <w:t>0.988</w:t>
            </w:r>
          </w:p>
        </w:tc>
        <w:tc>
          <w:tcPr>
            <w:tcW w:type="dxa" w:w="1080"/>
          </w:tcPr>
          <w:p>
            <w:pPr>
              <w:spacing w:after="0" w:before="0"/>
            </w:pPr>
            <w:r>
              <w:rPr>
                <w:sz w:val="18"/>
              </w:rPr>
              <w:t>27.16</w:t>
            </w:r>
          </w:p>
        </w:tc>
        <w:tc>
          <w:tcPr>
            <w:tcW w:type="dxa" w:w="1080"/>
          </w:tcPr>
          <w:p>
            <w:pPr>
              <w:spacing w:after="0" w:before="0"/>
            </w:pPr>
            <w:r>
              <w:rPr>
                <w:sz w:val="18"/>
              </w:rPr>
              <w:t>26.84</w:t>
            </w:r>
          </w:p>
        </w:tc>
        <w:tc>
          <w:tcPr>
            <w:tcW w:type="dxa" w:w="1080"/>
          </w:tcPr>
          <w:p>
            <w:pPr>
              <w:spacing w:after="0" w:before="0"/>
            </w:pPr>
            <w:r>
              <w:rPr>
                <w:sz w:val="18"/>
              </w:rPr>
              <w:t>0.416</w:t>
            </w:r>
          </w:p>
        </w:tc>
        <w:tc>
          <w:tcPr>
            <w:tcW w:type="dxa" w:w="1080"/>
          </w:tcPr>
          <w:p>
            <w:pPr>
              <w:spacing w:after="0" w:before="0"/>
            </w:pPr>
            <w:r>
              <w:rPr>
                <w:sz w:val="18"/>
              </w:rPr>
              <w:t>0.0</w:t>
            </w:r>
          </w:p>
        </w:tc>
      </w:tr>
      <w:tr>
        <w:tc>
          <w:tcPr>
            <w:tcW w:type="dxa" w:w="1080"/>
          </w:tcPr>
          <w:p>
            <w:pPr>
              <w:spacing w:after="0" w:before="0"/>
            </w:pPr>
            <w:r>
              <w:rPr>
                <w:sz w:val="18"/>
              </w:rPr>
              <w:t>total</w:t>
            </w:r>
          </w:p>
        </w:tc>
        <w:tc>
          <w:tcPr>
            <w:tcW w:type="dxa" w:w="1080"/>
          </w:tcPr>
          <w:p>
            <w:pPr>
              <w:spacing w:after="0" w:before="0"/>
            </w:pPr>
            <w:r>
              <w:rPr>
                <w:sz w:val="18"/>
              </w:rPr>
              <w:t>Risk Score RF</w:t>
            </w:r>
          </w:p>
        </w:tc>
        <w:tc>
          <w:tcPr>
            <w:tcW w:type="dxa" w:w="1080"/>
          </w:tcPr>
          <w:p>
            <w:pPr>
              <w:spacing w:after="0" w:before="0"/>
            </w:pPr>
            <w:r>
              <w:rPr>
                <w:sz w:val="18"/>
              </w:rPr>
              <w:t>7.1%</w:t>
            </w:r>
          </w:p>
        </w:tc>
        <w:tc>
          <w:tcPr>
            <w:tcW w:type="dxa" w:w="1080"/>
          </w:tcPr>
          <w:p>
            <w:pPr>
              <w:spacing w:after="0" w:before="0"/>
            </w:pPr>
            <w:r>
              <w:rPr>
                <w:sz w:val="18"/>
              </w:rPr>
              <w:t>0.792</w:t>
            </w:r>
          </w:p>
        </w:tc>
        <w:tc>
          <w:tcPr>
            <w:tcW w:type="dxa" w:w="1080"/>
          </w:tcPr>
          <w:p>
            <w:pPr>
              <w:spacing w:after="0" w:before="0"/>
            </w:pPr>
            <w:r>
              <w:rPr>
                <w:sz w:val="18"/>
              </w:rPr>
              <w:t>28.98</w:t>
            </w:r>
          </w:p>
        </w:tc>
        <w:tc>
          <w:tcPr>
            <w:tcW w:type="dxa" w:w="1080"/>
          </w:tcPr>
          <w:p>
            <w:pPr>
              <w:spacing w:after="0" w:before="0"/>
            </w:pPr>
            <w:r>
              <w:rPr>
                <w:sz w:val="18"/>
              </w:rPr>
              <w:t>22.94</w:t>
            </w:r>
          </w:p>
        </w:tc>
        <w:tc>
          <w:tcPr>
            <w:tcW w:type="dxa" w:w="1080"/>
          </w:tcPr>
          <w:p>
            <w:pPr>
              <w:spacing w:after="0" w:before="0"/>
            </w:pPr>
            <w:r>
              <w:rPr>
                <w:sz w:val="18"/>
              </w:rPr>
              <w:t>0.328</w:t>
            </w:r>
          </w:p>
        </w:tc>
        <w:tc>
          <w:tcPr>
            <w:tcW w:type="dxa" w:w="1080"/>
          </w:tcPr>
          <w:p>
            <w:pPr>
              <w:spacing w:after="0" w:before="0"/>
            </w:pPr>
            <w:r>
              <w:rPr>
                <w:sz w:val="18"/>
              </w:rPr>
              <w:t>0.0</w:t>
            </w:r>
          </w:p>
        </w:tc>
      </w:tr>
    </w:tbl>
    <w:p/>
    <w:p>
      <w:pPr/>
      <w:r/>
      <w:r>
        <w:rPr>
          <w:b/>
        </w:rPr>
        <w:t>Interpretation:</w:t>
      </w:r>
      <w:r/>
    </w:p>
    <w:p>
      <w:pPr>
        <w:pStyle w:val="ListBullet"/>
      </w:pPr>
      <w:r/>
      <w:r>
        <w:rPr>
          <w:b/>
        </w:rPr>
        <w:t>Risk Score RF</w:t>
      </w:r>
      <w:r>
        <w:t xml:space="preserve"> is consistently truncated across all groups (u = 0.79-0.85). The KS test is highly significant everywhere. Selection acts on this score.</w:t>
      </w:r>
    </w:p>
    <w:p>
      <w:pPr>
        <w:pStyle w:val="ListBullet"/>
      </w:pPr>
      <w:r/>
      <w:r>
        <w:rPr>
          <w:b/>
        </w:rPr>
        <w:t>Score RF in "known"</w:t>
      </w:r>
      <w:r>
        <w:t>: mild truncation (u = 0.92). Selection exists but is moderate.</w:t>
      </w:r>
    </w:p>
    <w:p>
      <w:pPr>
        <w:pStyle w:val="ListBullet"/>
      </w:pPr>
      <w:r/>
      <w:r>
        <w:rPr>
          <w:b/>
        </w:rPr>
        <w:t>Score RF in "others"</w:t>
      </w:r>
      <w:r>
        <w:t xml:space="preserve">: u = 1.26 &gt; 1.0. The booked population has </w:t>
      </w:r>
      <w:r>
        <w:rPr>
          <w:b/>
        </w:rPr>
        <w:t>higher</w:t>
      </w:r>
      <w:r>
        <w:t xml:space="preserve"> variance than demand. This anomaly means selection in the "others" group is not primarily score-based — at 2.4% acceptance, nearly all applicants are rejected by policy rules regardless of score.</w:t>
      </w:r>
    </w:p>
    <w:p>
      <w:pPr>
        <w:pStyle w:val="ListBullet"/>
      </w:pPr>
      <w:r/>
      <w:r>
        <w:rPr>
          <w:b/>
        </w:rPr>
        <w:t>Score RF in total</w:t>
      </w:r>
      <w:r>
        <w:t>: u = 0.99, essentially no truncation at the aggregate level.</w:t>
      </w:r>
    </w:p>
    <w:p>
      <w:pPr>
        <w:pStyle w:val="Heading3"/>
      </w:pPr>
      <w:r>
        <w:t>"Known" — the booked KDE (green) is slightly narrower than demand, especially for Risk Score RF:</w:t>
      </w:r>
    </w:p>
    <w:p>
      <w:pPr>
        <w:jc w:val="center"/>
      </w:pPr>
      <w:r>
        <w:drawing>
          <wp:inline xmlns:a="http://schemas.openxmlformats.org/drawingml/2006/main" xmlns:pic="http://schemas.openxmlformats.org/drawingml/2006/picture">
            <wp:extent cx="5486400" cy="4764918"/>
            <wp:docPr id="1" name="Picture 1"/>
            <wp:cNvGraphicFramePr>
              <a:graphicFrameLocks noChangeAspect="1"/>
            </wp:cNvGraphicFramePr>
            <a:graphic>
              <a:graphicData uri="http://schemas.openxmlformats.org/drawingml/2006/picture">
                <pic:pic>
                  <pic:nvPicPr>
                    <pic:cNvPr id="0" name="truncation_known_main.png"/>
                    <pic:cNvPicPr/>
                  </pic:nvPicPr>
                  <pic:blipFill>
                    <a:blip r:embed="rId9"/>
                    <a:stretch>
                      <a:fillRect/>
                    </a:stretch>
                  </pic:blipFill>
                  <pic:spPr>
                    <a:xfrm>
                      <a:off x="0" y="0"/>
                      <a:ext cx="5486400" cy="4764918"/>
                    </a:xfrm>
                    <a:prstGeom prst="rect"/>
                  </pic:spPr>
                </pic:pic>
              </a:graphicData>
            </a:graphic>
          </wp:inline>
        </w:drawing>
      </w:r>
    </w:p>
    <w:p>
      <w:pPr>
        <w:pStyle w:val="Heading3"/>
      </w:pPr>
      <w:r>
        <w:t>"Others" — Score RF booked (green) is actually wider than demand; Risk Score RF shows clear truncation:</w:t>
      </w:r>
    </w:p>
    <w:p>
      <w:pPr>
        <w:jc w:val="center"/>
      </w:pPr>
      <w:r>
        <w:drawing>
          <wp:inline xmlns:a="http://schemas.openxmlformats.org/drawingml/2006/main" xmlns:pic="http://schemas.openxmlformats.org/drawingml/2006/picture">
            <wp:extent cx="5486400" cy="4764918"/>
            <wp:docPr id="2" name="Picture 2"/>
            <wp:cNvGraphicFramePr>
              <a:graphicFrameLocks noChangeAspect="1"/>
            </wp:cNvGraphicFramePr>
            <a:graphic>
              <a:graphicData uri="http://schemas.openxmlformats.org/drawingml/2006/picture">
                <pic:pic>
                  <pic:nvPicPr>
                    <pic:cNvPr id="0" name="truncation_others_main.png"/>
                    <pic:cNvPicPr/>
                  </pic:nvPicPr>
                  <pic:blipFill>
                    <a:blip r:embed="rId10"/>
                    <a:stretch>
                      <a:fillRect/>
                    </a:stretch>
                  </pic:blipFill>
                  <pic:spPr>
                    <a:xfrm>
                      <a:off x="0" y="0"/>
                      <a:ext cx="5486400" cy="4764918"/>
                    </a:xfrm>
                    <a:prstGeom prst="rect"/>
                  </pic:spPr>
                </pic:pic>
              </a:graphicData>
            </a:graphic>
          </wp:inline>
        </w:drawing>
      </w:r>
    </w:p>
    <w:p>
      <w:pPr>
        <w:pStyle w:val="Heading3"/>
      </w:pPr>
      <w:r>
        <w:t>Total:</w:t>
      </w:r>
    </w:p>
    <w:p>
      <w:pPr>
        <w:jc w:val="center"/>
      </w:pPr>
      <w:r>
        <w:drawing>
          <wp:inline xmlns:a="http://schemas.openxmlformats.org/drawingml/2006/main" xmlns:pic="http://schemas.openxmlformats.org/drawingml/2006/picture">
            <wp:extent cx="5486400" cy="4764918"/>
            <wp:docPr id="3" name="Picture 3"/>
            <wp:cNvGraphicFramePr>
              <a:graphicFrameLocks noChangeAspect="1"/>
            </wp:cNvGraphicFramePr>
            <a:graphic>
              <a:graphicData uri="http://schemas.openxmlformats.org/drawingml/2006/picture">
                <pic:pic>
                  <pic:nvPicPr>
                    <pic:cNvPr id="0" name="truncation_total_main.png"/>
                    <pic:cNvPicPr/>
                  </pic:nvPicPr>
                  <pic:blipFill>
                    <a:blip r:embed="rId11"/>
                    <a:stretch>
                      <a:fillRect/>
                    </a:stretch>
                  </pic:blipFill>
                  <pic:spPr>
                    <a:xfrm>
                      <a:off x="0" y="0"/>
                      <a:ext cx="5486400" cy="4764918"/>
                    </a:xfrm>
                    <a:prstGeom prst="rect"/>
                  </pic:spPr>
                </pic:pic>
              </a:graphicData>
            </a:graphic>
          </wp:inline>
        </w:drawing>
      </w:r>
    </w:p>
    <w:p>
      <w:pPr>
        <w:pStyle w:val="Heading2"/>
      </w:pPr>
      <w:r>
        <w:t>2. Thorndike Case 2 Correction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after="0" w:before="0"/>
            </w:pPr>
            <w:r>
              <w:rPr>
                <w:b/>
                <w:sz w:val="18"/>
              </w:rPr>
              <w:t>Group</w:t>
            </w:r>
          </w:p>
        </w:tc>
        <w:tc>
          <w:tcPr>
            <w:tcW w:type="dxa" w:w="1440"/>
          </w:tcPr>
          <w:p>
            <w:pPr>
              <w:spacing w:after="0" w:before="0"/>
            </w:pPr>
            <w:r>
              <w:rPr>
                <w:b/>
                <w:sz w:val="18"/>
              </w:rPr>
              <w:t>Score</w:t>
            </w:r>
          </w:p>
        </w:tc>
        <w:tc>
          <w:tcPr>
            <w:tcW w:type="dxa" w:w="1440"/>
          </w:tcPr>
          <w:p>
            <w:pPr>
              <w:spacing w:after="0" w:before="0"/>
            </w:pPr>
            <w:r>
              <w:rPr>
                <w:b/>
                <w:sz w:val="18"/>
              </w:rPr>
              <w:t>Observed Gini</w:t>
            </w:r>
          </w:p>
        </w:tc>
        <w:tc>
          <w:tcPr>
            <w:tcW w:type="dxa" w:w="1440"/>
          </w:tcPr>
          <w:p>
            <w:pPr>
              <w:spacing w:after="0" w:before="0"/>
            </w:pPr>
            <w:r>
              <w:rPr>
                <w:b/>
                <w:sz w:val="18"/>
              </w:rPr>
              <w:t>u ratio</w:t>
            </w:r>
          </w:p>
        </w:tc>
        <w:tc>
          <w:tcPr>
            <w:tcW w:type="dxa" w:w="1440"/>
          </w:tcPr>
          <w:p>
            <w:pPr>
              <w:spacing w:after="0" w:before="0"/>
            </w:pPr>
            <w:r>
              <w:rPr>
                <w:b/>
                <w:sz w:val="18"/>
              </w:rPr>
              <w:t>Corrected Gini</w:t>
            </w:r>
          </w:p>
        </w:tc>
        <w:tc>
          <w:tcPr>
            <w:tcW w:type="dxa" w:w="1440"/>
          </w:tcPr>
          <w:p>
            <w:pPr>
              <w:spacing w:after="0" w:before="0"/>
            </w:pPr>
            <w:r>
              <w:rPr>
                <w:b/>
                <w:sz w:val="18"/>
              </w:rPr>
              <w:t>Attenuation</w:t>
            </w:r>
          </w:p>
        </w:tc>
      </w:tr>
      <w:tr>
        <w:tc>
          <w:tcPr>
            <w:tcW w:type="dxa" w:w="1440"/>
          </w:tcPr>
          <w:p>
            <w:pPr>
              <w:spacing w:after="0" w:before="0"/>
            </w:pPr>
            <w:r>
              <w:rPr>
                <w:sz w:val="18"/>
              </w:rPr>
              <w:t>-------</w:t>
            </w:r>
          </w:p>
        </w:tc>
        <w:tc>
          <w:tcPr>
            <w:tcW w:type="dxa" w:w="1440"/>
          </w:tcPr>
          <w:p>
            <w:pPr>
              <w:spacing w:after="0" w:before="0"/>
            </w:pPr>
            <w:r>
              <w:rPr>
                <w:sz w:val="18"/>
              </w:rPr>
              <w:t>-------</w:t>
            </w:r>
          </w:p>
        </w:tc>
        <w:tc>
          <w:tcPr>
            <w:tcW w:type="dxa" w:w="1440"/>
          </w:tcPr>
          <w:p>
            <w:pPr>
              <w:spacing w:after="0" w:before="0"/>
            </w:pPr>
            <w:r>
              <w:rPr>
                <w:sz w:val="18"/>
              </w:rPr>
              <w:t>:-:</w:t>
            </w:r>
          </w:p>
        </w:tc>
        <w:tc>
          <w:tcPr>
            <w:tcW w:type="dxa" w:w="1440"/>
          </w:tcPr>
          <w:p>
            <w:pPr>
              <w:spacing w:after="0" w:before="0"/>
            </w:pPr>
            <w:r>
              <w:rPr>
                <w:sz w:val="18"/>
              </w:rPr>
              <w:t>:-:</w:t>
            </w:r>
          </w:p>
        </w:tc>
        <w:tc>
          <w:tcPr>
            <w:tcW w:type="dxa" w:w="1440"/>
          </w:tcPr>
          <w:p>
            <w:pPr>
              <w:spacing w:after="0" w:before="0"/>
            </w:pPr>
            <w:r>
              <w:rPr>
                <w:sz w:val="18"/>
              </w:rPr>
              <w:t>:-:</w:t>
            </w:r>
          </w:p>
        </w:tc>
        <w:tc>
          <w:tcPr>
            <w:tcW w:type="dxa" w:w="1440"/>
          </w:tcPr>
          <w:p>
            <w:pPr>
              <w:spacing w:after="0" w:before="0"/>
            </w:pPr>
            <w:r>
              <w:rPr>
                <w:sz w:val="18"/>
              </w:rPr>
              <w:t>:-:</w:t>
            </w:r>
          </w:p>
        </w:tc>
      </w:tr>
      <w:tr>
        <w:tc>
          <w:tcPr>
            <w:tcW w:type="dxa" w:w="1440"/>
          </w:tcPr>
          <w:p>
            <w:pPr>
              <w:spacing w:after="0" w:before="0"/>
            </w:pPr>
            <w:r>
              <w:rPr>
                <w:sz w:val="18"/>
              </w:rPr>
              <w:t>known</w:t>
            </w:r>
          </w:p>
        </w:tc>
        <w:tc>
          <w:tcPr>
            <w:tcW w:type="dxa" w:w="1440"/>
          </w:tcPr>
          <w:p>
            <w:pPr>
              <w:spacing w:after="0" w:before="0"/>
            </w:pPr>
            <w:r>
              <w:rPr>
                <w:sz w:val="18"/>
              </w:rPr>
              <w:t>Score RF</w:t>
            </w:r>
          </w:p>
        </w:tc>
        <w:tc>
          <w:tcPr>
            <w:tcW w:type="dxa" w:w="1440"/>
          </w:tcPr>
          <w:p>
            <w:pPr>
              <w:spacing w:after="0" w:before="0"/>
            </w:pPr>
            <w:r>
              <w:rPr>
                <w:sz w:val="18"/>
              </w:rPr>
              <w:t>0.227</w:t>
            </w:r>
          </w:p>
        </w:tc>
        <w:tc>
          <w:tcPr>
            <w:tcW w:type="dxa" w:w="1440"/>
          </w:tcPr>
          <w:p>
            <w:pPr>
              <w:spacing w:after="0" w:before="0"/>
            </w:pPr>
            <w:r>
              <w:rPr>
                <w:sz w:val="18"/>
              </w:rPr>
              <w:t>0.921</w:t>
            </w:r>
          </w:p>
        </w:tc>
        <w:tc>
          <w:tcPr>
            <w:tcW w:type="dxa" w:w="1440"/>
          </w:tcPr>
          <w:p>
            <w:pPr>
              <w:spacing w:after="0" w:before="0"/>
            </w:pPr>
            <w:r>
              <w:rPr>
                <w:sz w:val="18"/>
              </w:rPr>
              <w:t>0.246</w:t>
            </w:r>
          </w:p>
        </w:tc>
        <w:tc>
          <w:tcPr>
            <w:tcW w:type="dxa" w:w="1440"/>
          </w:tcPr>
          <w:p>
            <w:pPr>
              <w:spacing w:after="0" w:before="0"/>
            </w:pPr>
            <w:r>
              <w:rPr>
                <w:sz w:val="18"/>
              </w:rPr>
              <w:t>7.6%</w:t>
            </w:r>
          </w:p>
        </w:tc>
      </w:tr>
      <w:tr>
        <w:tc>
          <w:tcPr>
            <w:tcW w:type="dxa" w:w="1440"/>
          </w:tcPr>
          <w:p>
            <w:pPr>
              <w:spacing w:after="0" w:before="0"/>
            </w:pPr>
            <w:r>
              <w:rPr>
                <w:sz w:val="18"/>
              </w:rPr>
              <w:t>known</w:t>
            </w:r>
          </w:p>
        </w:tc>
        <w:tc>
          <w:tcPr>
            <w:tcW w:type="dxa" w:w="1440"/>
          </w:tcPr>
          <w:p>
            <w:pPr>
              <w:spacing w:after="0" w:before="0"/>
            </w:pPr>
            <w:r>
              <w:rPr>
                <w:sz w:val="18"/>
              </w:rPr>
              <w:t>Risk Score RF</w:t>
            </w:r>
          </w:p>
        </w:tc>
        <w:tc>
          <w:tcPr>
            <w:tcW w:type="dxa" w:w="1440"/>
          </w:tcPr>
          <w:p>
            <w:pPr>
              <w:spacing w:after="0" w:before="0"/>
            </w:pPr>
            <w:r>
              <w:rPr>
                <w:sz w:val="18"/>
              </w:rPr>
              <w:t>0.349</w:t>
            </w:r>
          </w:p>
        </w:tc>
        <w:tc>
          <w:tcPr>
            <w:tcW w:type="dxa" w:w="1440"/>
          </w:tcPr>
          <w:p>
            <w:pPr>
              <w:spacing w:after="0" w:before="0"/>
            </w:pPr>
            <w:r>
              <w:rPr>
                <w:sz w:val="18"/>
              </w:rPr>
              <w:t>0.845</w:t>
            </w:r>
          </w:p>
        </w:tc>
        <w:tc>
          <w:tcPr>
            <w:tcW w:type="dxa" w:w="1440"/>
          </w:tcPr>
          <w:p>
            <w:pPr>
              <w:spacing w:after="0" w:before="0"/>
            </w:pPr>
            <w:r>
              <w:rPr>
                <w:sz w:val="18"/>
              </w:rPr>
              <w:t>0.407</w:t>
            </w:r>
          </w:p>
        </w:tc>
        <w:tc>
          <w:tcPr>
            <w:tcW w:type="dxa" w:w="1440"/>
          </w:tcPr>
          <w:p>
            <w:pPr>
              <w:spacing w:after="0" w:before="0"/>
            </w:pPr>
            <w:r>
              <w:rPr>
                <w:sz w:val="18"/>
              </w:rPr>
              <w:t>14.4%</w:t>
            </w:r>
          </w:p>
        </w:tc>
      </w:tr>
      <w:tr>
        <w:tc>
          <w:tcPr>
            <w:tcW w:type="dxa" w:w="1440"/>
          </w:tcPr>
          <w:p>
            <w:pPr>
              <w:spacing w:after="0" w:before="0"/>
            </w:pPr>
            <w:r>
              <w:rPr>
                <w:sz w:val="18"/>
              </w:rPr>
              <w:t>others</w:t>
            </w:r>
          </w:p>
        </w:tc>
        <w:tc>
          <w:tcPr>
            <w:tcW w:type="dxa" w:w="1440"/>
          </w:tcPr>
          <w:p>
            <w:pPr>
              <w:spacing w:after="0" w:before="0"/>
            </w:pPr>
            <w:r>
              <w:rPr>
                <w:sz w:val="18"/>
              </w:rPr>
              <w:t>Score RF</w:t>
            </w:r>
          </w:p>
        </w:tc>
        <w:tc>
          <w:tcPr>
            <w:tcW w:type="dxa" w:w="1440"/>
          </w:tcPr>
          <w:p>
            <w:pPr>
              <w:spacing w:after="0" w:before="0"/>
            </w:pPr>
            <w:r>
              <w:rPr>
                <w:sz w:val="18"/>
              </w:rPr>
              <w:t>0.432</w:t>
            </w:r>
          </w:p>
        </w:tc>
        <w:tc>
          <w:tcPr>
            <w:tcW w:type="dxa" w:w="1440"/>
          </w:tcPr>
          <w:p>
            <w:pPr>
              <w:spacing w:after="0" w:before="0"/>
            </w:pPr>
            <w:r>
              <w:rPr>
                <w:sz w:val="18"/>
              </w:rPr>
              <w:t>1.262</w:t>
            </w:r>
          </w:p>
        </w:tc>
        <w:tc>
          <w:tcPr>
            <w:tcW w:type="dxa" w:w="1440"/>
          </w:tcPr>
          <w:p>
            <w:pPr>
              <w:spacing w:after="0" w:before="0"/>
            </w:pPr>
            <w:r>
              <w:rPr>
                <w:sz w:val="18"/>
              </w:rPr>
              <w:t>0.432</w:t>
            </w:r>
          </w:p>
        </w:tc>
        <w:tc>
          <w:tcPr>
            <w:tcW w:type="dxa" w:w="1440"/>
          </w:tcPr>
          <w:p>
            <w:pPr>
              <w:spacing w:after="0" w:before="0"/>
            </w:pPr>
            <w:r>
              <w:rPr>
                <w:sz w:val="18"/>
              </w:rPr>
              <w:t>0.0%</w:t>
            </w:r>
          </w:p>
        </w:tc>
      </w:tr>
      <w:tr>
        <w:tc>
          <w:tcPr>
            <w:tcW w:type="dxa" w:w="1440"/>
          </w:tcPr>
          <w:p>
            <w:pPr>
              <w:spacing w:after="0" w:before="0"/>
            </w:pPr>
            <w:r>
              <w:rPr>
                <w:sz w:val="18"/>
              </w:rPr>
              <w:t>others</w:t>
            </w:r>
          </w:p>
        </w:tc>
        <w:tc>
          <w:tcPr>
            <w:tcW w:type="dxa" w:w="1440"/>
          </w:tcPr>
          <w:p>
            <w:pPr>
              <w:spacing w:after="0" w:before="0"/>
            </w:pPr>
            <w:r>
              <w:rPr>
                <w:sz w:val="18"/>
              </w:rPr>
              <w:t>Risk Score RF</w:t>
            </w:r>
          </w:p>
        </w:tc>
        <w:tc>
          <w:tcPr>
            <w:tcW w:type="dxa" w:w="1440"/>
          </w:tcPr>
          <w:p>
            <w:pPr>
              <w:spacing w:after="0" w:before="0"/>
            </w:pPr>
            <w:r>
              <w:rPr>
                <w:sz w:val="18"/>
              </w:rPr>
              <w:t>0.450</w:t>
            </w:r>
          </w:p>
        </w:tc>
        <w:tc>
          <w:tcPr>
            <w:tcW w:type="dxa" w:w="1440"/>
          </w:tcPr>
          <w:p>
            <w:pPr>
              <w:spacing w:after="0" w:before="0"/>
            </w:pPr>
            <w:r>
              <w:rPr>
                <w:sz w:val="18"/>
              </w:rPr>
              <w:t>0.834</w:t>
            </w:r>
          </w:p>
        </w:tc>
        <w:tc>
          <w:tcPr>
            <w:tcW w:type="dxa" w:w="1440"/>
          </w:tcPr>
          <w:p>
            <w:pPr>
              <w:spacing w:after="0" w:before="0"/>
            </w:pPr>
            <w:r>
              <w:rPr>
                <w:sz w:val="18"/>
              </w:rPr>
              <w:t>0.526</w:t>
            </w:r>
          </w:p>
        </w:tc>
        <w:tc>
          <w:tcPr>
            <w:tcW w:type="dxa" w:w="1440"/>
          </w:tcPr>
          <w:p>
            <w:pPr>
              <w:spacing w:after="0" w:before="0"/>
            </w:pPr>
            <w:r>
              <w:rPr>
                <w:sz w:val="18"/>
              </w:rPr>
              <w:t>14.5%</w:t>
            </w:r>
          </w:p>
        </w:tc>
      </w:tr>
      <w:tr>
        <w:tc>
          <w:tcPr>
            <w:tcW w:type="dxa" w:w="1440"/>
          </w:tcPr>
          <w:p>
            <w:pPr>
              <w:spacing w:after="0" w:before="0"/>
            </w:pPr>
            <w:r>
              <w:rPr>
                <w:sz w:val="18"/>
              </w:rPr>
              <w:t>total</w:t>
            </w:r>
          </w:p>
        </w:tc>
        <w:tc>
          <w:tcPr>
            <w:tcW w:type="dxa" w:w="1440"/>
          </w:tcPr>
          <w:p>
            <w:pPr>
              <w:spacing w:after="0" w:before="0"/>
            </w:pPr>
            <w:r>
              <w:rPr>
                <w:sz w:val="18"/>
              </w:rPr>
              <w:t>Score RF</w:t>
            </w:r>
          </w:p>
        </w:tc>
        <w:tc>
          <w:tcPr>
            <w:tcW w:type="dxa" w:w="1440"/>
          </w:tcPr>
          <w:p>
            <w:pPr>
              <w:spacing w:after="0" w:before="0"/>
            </w:pPr>
            <w:r>
              <w:rPr>
                <w:sz w:val="18"/>
              </w:rPr>
              <w:t>0.287</w:t>
            </w:r>
          </w:p>
        </w:tc>
        <w:tc>
          <w:tcPr>
            <w:tcW w:type="dxa" w:w="1440"/>
          </w:tcPr>
          <w:p>
            <w:pPr>
              <w:spacing w:after="0" w:before="0"/>
            </w:pPr>
            <w:r>
              <w:rPr>
                <w:sz w:val="18"/>
              </w:rPr>
              <w:t>0.988</w:t>
            </w:r>
          </w:p>
        </w:tc>
        <w:tc>
          <w:tcPr>
            <w:tcW w:type="dxa" w:w="1440"/>
          </w:tcPr>
          <w:p>
            <w:pPr>
              <w:spacing w:after="0" w:before="0"/>
            </w:pPr>
            <w:r>
              <w:rPr>
                <w:sz w:val="18"/>
              </w:rPr>
              <w:t>0.290</w:t>
            </w:r>
          </w:p>
        </w:tc>
        <w:tc>
          <w:tcPr>
            <w:tcW w:type="dxa" w:w="1440"/>
          </w:tcPr>
          <w:p>
            <w:pPr>
              <w:spacing w:after="0" w:before="0"/>
            </w:pPr>
            <w:r>
              <w:rPr>
                <w:sz w:val="18"/>
              </w:rPr>
              <w:t>1.1%</w:t>
            </w:r>
          </w:p>
        </w:tc>
      </w:tr>
      <w:tr>
        <w:tc>
          <w:tcPr>
            <w:tcW w:type="dxa" w:w="1440"/>
          </w:tcPr>
          <w:p>
            <w:pPr>
              <w:spacing w:after="0" w:before="0"/>
            </w:pPr>
            <w:r>
              <w:rPr>
                <w:sz w:val="18"/>
              </w:rPr>
              <w:t>total</w:t>
            </w:r>
          </w:p>
        </w:tc>
        <w:tc>
          <w:tcPr>
            <w:tcW w:type="dxa" w:w="1440"/>
          </w:tcPr>
          <w:p>
            <w:pPr>
              <w:spacing w:after="0" w:before="0"/>
            </w:pPr>
            <w:r>
              <w:rPr>
                <w:sz w:val="18"/>
              </w:rPr>
              <w:t>Risk Score RF</w:t>
            </w:r>
          </w:p>
        </w:tc>
        <w:tc>
          <w:tcPr>
            <w:tcW w:type="dxa" w:w="1440"/>
          </w:tcPr>
          <w:p>
            <w:pPr>
              <w:spacing w:after="0" w:before="0"/>
            </w:pPr>
            <w:r>
              <w:rPr>
                <w:sz w:val="18"/>
              </w:rPr>
              <w:t>0.380</w:t>
            </w:r>
          </w:p>
        </w:tc>
        <w:tc>
          <w:tcPr>
            <w:tcW w:type="dxa" w:w="1440"/>
          </w:tcPr>
          <w:p>
            <w:pPr>
              <w:spacing w:after="0" w:before="0"/>
            </w:pPr>
            <w:r>
              <w:rPr>
                <w:sz w:val="18"/>
              </w:rPr>
              <w:t>0.792</w:t>
            </w:r>
          </w:p>
        </w:tc>
        <w:tc>
          <w:tcPr>
            <w:tcW w:type="dxa" w:w="1440"/>
          </w:tcPr>
          <w:p>
            <w:pPr>
              <w:spacing w:after="0" w:before="0"/>
            </w:pPr>
            <w:r>
              <w:rPr>
                <w:sz w:val="18"/>
              </w:rPr>
              <w:t>0.469</w:t>
            </w:r>
          </w:p>
        </w:tc>
        <w:tc>
          <w:tcPr>
            <w:tcW w:type="dxa" w:w="1440"/>
          </w:tcPr>
          <w:p>
            <w:pPr>
              <w:spacing w:after="0" w:before="0"/>
            </w:pPr>
            <w:r>
              <w:rPr>
                <w:sz w:val="18"/>
              </w:rPr>
              <w:t>19.0%</w:t>
            </w:r>
          </w:p>
        </w:tc>
      </w:tr>
    </w:tbl>
    <w:p/>
    <w:p>
      <w:pPr/>
      <w:r/>
      <w:r>
        <w:rPr>
          <w:b/>
        </w:rPr>
        <w:t>Interpretation:</w:t>
      </w:r>
      <w:r/>
    </w:p>
    <w:p>
      <w:pPr>
        <w:pStyle w:val="ListBullet"/>
      </w:pPr>
      <w:r/>
      <w:r>
        <w:rPr>
          <w:b/>
        </w:rPr>
        <w:t>Risk Score RF</w:t>
      </w:r>
      <w:r>
        <w:t xml:space="preserve"> attenuation is substantial: 14-19% across groups. The "true" (unrestricted) Gini is estimated at 0.41-0.53, roughly 5-9 Gini points higher than observed. This is meaningful and consistent with the truncation evidence.</w:t>
      </w:r>
    </w:p>
    <w:p>
      <w:pPr>
        <w:pStyle w:val="ListBullet"/>
      </w:pPr>
      <w:r/>
      <w:r>
        <w:rPr>
          <w:b/>
        </w:rPr>
        <w:t>Score RF</w:t>
      </w:r>
      <w:r>
        <w:t xml:space="preserve"> correction is minimal except in "known" (7.6%). The low Gini of 0.23 in "known" would only improve to 0.25 — still well below Risk Score RF. </w:t>
      </w:r>
      <w:r>
        <w:rPr>
          <w:b/>
        </w:rPr>
        <w:t>Selection bias explains at most 2 Gini points of the gap</w:t>
      </w:r>
      <w:r>
        <w:t>; the remaining 10+ points reflect genuine weakness.</w:t>
      </w:r>
    </w:p>
    <w:p>
      <w:pPr>
        <w:jc w:val="center"/>
      </w:pPr>
      <w:r>
        <w:drawing>
          <wp:inline xmlns:a="http://schemas.openxmlformats.org/drawingml/2006/main" xmlns:pic="http://schemas.openxmlformats.org/drawingml/2006/picture">
            <wp:extent cx="5486400" cy="2120709"/>
            <wp:docPr id="4" name="Picture 4"/>
            <wp:cNvGraphicFramePr>
              <a:graphicFrameLocks noChangeAspect="1"/>
            </wp:cNvGraphicFramePr>
            <a:graphic>
              <a:graphicData uri="http://schemas.openxmlformats.org/drawingml/2006/picture">
                <pic:pic>
                  <pic:nvPicPr>
                    <pic:cNvPr id="0" name="thorndike_correction.png"/>
                    <pic:cNvPicPr/>
                  </pic:nvPicPr>
                  <pic:blipFill>
                    <a:blip r:embed="rId12"/>
                    <a:stretch>
                      <a:fillRect/>
                    </a:stretch>
                  </pic:blipFill>
                  <pic:spPr>
                    <a:xfrm>
                      <a:off x="0" y="0"/>
                      <a:ext cx="5486400" cy="2120709"/>
                    </a:xfrm>
                    <a:prstGeom prst="rect"/>
                  </pic:spPr>
                </pic:pic>
              </a:graphicData>
            </a:graphic>
          </wp:inline>
        </w:drawing>
      </w:r>
    </w:p>
    <w:p>
      <w:pPr>
        <w:pStyle w:val="Heading2"/>
      </w:pPr>
      <w:r>
        <w:t>3. Simulated Range Restriction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after="0" w:before="0"/>
            </w:pPr>
            <w:r>
              <w:rPr>
                <w:b/>
                <w:sz w:val="18"/>
              </w:rPr>
              <w:t>Group</w:t>
            </w:r>
          </w:p>
        </w:tc>
        <w:tc>
          <w:tcPr>
            <w:tcW w:type="dxa" w:w="1728"/>
          </w:tcPr>
          <w:p>
            <w:pPr>
              <w:spacing w:after="0" w:before="0"/>
            </w:pPr>
            <w:r>
              <w:rPr>
                <w:b/>
                <w:sz w:val="18"/>
              </w:rPr>
              <w:t>Score</w:t>
            </w:r>
          </w:p>
        </w:tc>
        <w:tc>
          <w:tcPr>
            <w:tcW w:type="dxa" w:w="1728"/>
          </w:tcPr>
          <w:p>
            <w:pPr>
              <w:spacing w:after="0" w:before="0"/>
            </w:pPr>
            <w:r>
              <w:rPr>
                <w:b/>
                <w:sz w:val="18"/>
              </w:rPr>
              <w:t>Gini at 100%</w:t>
            </w:r>
          </w:p>
        </w:tc>
        <w:tc>
          <w:tcPr>
            <w:tcW w:type="dxa" w:w="1728"/>
          </w:tcPr>
          <w:p>
            <w:pPr>
              <w:spacing w:after="0" w:before="0"/>
            </w:pPr>
            <w:r>
              <w:rPr>
                <w:b/>
                <w:sz w:val="18"/>
              </w:rPr>
              <w:t>Gini at 50%</w:t>
            </w:r>
          </w:p>
        </w:tc>
        <w:tc>
          <w:tcPr>
            <w:tcW w:type="dxa" w:w="1728"/>
          </w:tcPr>
          <w:p>
            <w:pPr>
              <w:spacing w:after="0" w:before="0"/>
            </w:pPr>
            <w:r>
              <w:rPr>
                <w:b/>
                <w:sz w:val="18"/>
              </w:rPr>
              <w:t>Drop</w:t>
            </w:r>
          </w:p>
        </w:tc>
      </w:tr>
      <w:tr>
        <w:tc>
          <w:tcPr>
            <w:tcW w:type="dxa" w:w="1728"/>
          </w:tcPr>
          <w:p>
            <w:pPr>
              <w:spacing w:after="0" w:before="0"/>
            </w:pPr>
            <w:r>
              <w:rPr>
                <w:sz w:val="18"/>
              </w:rPr>
              <w:t>-------</w:t>
            </w:r>
          </w:p>
        </w:tc>
        <w:tc>
          <w:tcPr>
            <w:tcW w:type="dxa" w:w="1728"/>
          </w:tcPr>
          <w:p>
            <w:pPr>
              <w:spacing w:after="0" w:before="0"/>
            </w:pPr>
            <w:r>
              <w:rPr>
                <w:sz w:val="18"/>
              </w:rPr>
              <w:t>-------</w:t>
            </w:r>
          </w:p>
        </w:tc>
        <w:tc>
          <w:tcPr>
            <w:tcW w:type="dxa" w:w="1728"/>
          </w:tcPr>
          <w:p>
            <w:pPr>
              <w:spacing w:after="0" w:before="0"/>
            </w:pPr>
            <w:r>
              <w:rPr>
                <w:sz w:val="18"/>
              </w:rPr>
              <w:t>:-:</w:t>
            </w:r>
          </w:p>
        </w:tc>
        <w:tc>
          <w:tcPr>
            <w:tcW w:type="dxa" w:w="1728"/>
          </w:tcPr>
          <w:p>
            <w:pPr>
              <w:spacing w:after="0" w:before="0"/>
            </w:pPr>
            <w:r>
              <w:rPr>
                <w:sz w:val="18"/>
              </w:rPr>
              <w:t>:-:</w:t>
            </w:r>
          </w:p>
        </w:tc>
        <w:tc>
          <w:tcPr>
            <w:tcW w:type="dxa" w:w="1728"/>
          </w:tcPr>
          <w:p>
            <w:pPr>
              <w:spacing w:after="0" w:before="0"/>
            </w:pPr>
            <w:r>
              <w:rPr>
                <w:sz w:val="18"/>
              </w:rPr>
              <w:t>:-:</w:t>
            </w:r>
          </w:p>
        </w:tc>
      </w:tr>
      <w:tr>
        <w:tc>
          <w:tcPr>
            <w:tcW w:type="dxa" w:w="1728"/>
          </w:tcPr>
          <w:p>
            <w:pPr>
              <w:spacing w:after="0" w:before="0"/>
            </w:pPr>
            <w:r>
              <w:rPr>
                <w:sz w:val="18"/>
              </w:rPr>
              <w:t>known</w:t>
            </w:r>
          </w:p>
        </w:tc>
        <w:tc>
          <w:tcPr>
            <w:tcW w:type="dxa" w:w="1728"/>
          </w:tcPr>
          <w:p>
            <w:pPr>
              <w:spacing w:after="0" w:before="0"/>
            </w:pPr>
            <w:r>
              <w:rPr>
                <w:sz w:val="18"/>
              </w:rPr>
              <w:t>Score RF</w:t>
            </w:r>
          </w:p>
        </w:tc>
        <w:tc>
          <w:tcPr>
            <w:tcW w:type="dxa" w:w="1728"/>
          </w:tcPr>
          <w:p>
            <w:pPr>
              <w:spacing w:after="0" w:before="0"/>
            </w:pPr>
            <w:r>
              <w:rPr>
                <w:sz w:val="18"/>
              </w:rPr>
              <w:t>0.227</w:t>
            </w:r>
          </w:p>
        </w:tc>
        <w:tc>
          <w:tcPr>
            <w:tcW w:type="dxa" w:w="1728"/>
          </w:tcPr>
          <w:p>
            <w:pPr>
              <w:spacing w:after="0" w:before="0"/>
            </w:pPr>
            <w:r>
              <w:rPr>
                <w:sz w:val="18"/>
              </w:rPr>
              <w:t>0.144</w:t>
            </w:r>
          </w:p>
        </w:tc>
        <w:tc>
          <w:tcPr>
            <w:tcW w:type="dxa" w:w="1728"/>
          </w:tcPr>
          <w:p>
            <w:pPr>
              <w:spacing w:after="0" w:before="0"/>
            </w:pPr>
            <w:r>
              <w:rPr>
                <w:sz w:val="18"/>
              </w:rPr>
              <w:t>36.5%</w:t>
            </w:r>
          </w:p>
        </w:tc>
      </w:tr>
      <w:tr>
        <w:tc>
          <w:tcPr>
            <w:tcW w:type="dxa" w:w="1728"/>
          </w:tcPr>
          <w:p>
            <w:pPr>
              <w:spacing w:after="0" w:before="0"/>
            </w:pPr>
            <w:r>
              <w:rPr>
                <w:sz w:val="18"/>
              </w:rPr>
              <w:t>known</w:t>
            </w:r>
          </w:p>
        </w:tc>
        <w:tc>
          <w:tcPr>
            <w:tcW w:type="dxa" w:w="1728"/>
          </w:tcPr>
          <w:p>
            <w:pPr>
              <w:spacing w:after="0" w:before="0"/>
            </w:pPr>
            <w:r>
              <w:rPr>
                <w:sz w:val="18"/>
              </w:rPr>
              <w:t>Risk Score RF</w:t>
            </w:r>
          </w:p>
        </w:tc>
        <w:tc>
          <w:tcPr>
            <w:tcW w:type="dxa" w:w="1728"/>
          </w:tcPr>
          <w:p>
            <w:pPr>
              <w:spacing w:after="0" w:before="0"/>
            </w:pPr>
            <w:r>
              <w:rPr>
                <w:sz w:val="18"/>
              </w:rPr>
              <w:t>0.349</w:t>
            </w:r>
          </w:p>
        </w:tc>
        <w:tc>
          <w:tcPr>
            <w:tcW w:type="dxa" w:w="1728"/>
          </w:tcPr>
          <w:p>
            <w:pPr>
              <w:spacing w:after="0" w:before="0"/>
            </w:pPr>
            <w:r>
              <w:rPr>
                <w:sz w:val="18"/>
              </w:rPr>
              <w:t>0.305</w:t>
            </w:r>
          </w:p>
        </w:tc>
        <w:tc>
          <w:tcPr>
            <w:tcW w:type="dxa" w:w="1728"/>
          </w:tcPr>
          <w:p>
            <w:pPr>
              <w:spacing w:after="0" w:before="0"/>
            </w:pPr>
            <w:r>
              <w:rPr>
                <w:sz w:val="18"/>
              </w:rPr>
              <w:t>12.5%</w:t>
            </w:r>
          </w:p>
        </w:tc>
      </w:tr>
      <w:tr>
        <w:tc>
          <w:tcPr>
            <w:tcW w:type="dxa" w:w="1728"/>
          </w:tcPr>
          <w:p>
            <w:pPr>
              <w:spacing w:after="0" w:before="0"/>
            </w:pPr>
            <w:r>
              <w:rPr>
                <w:sz w:val="18"/>
              </w:rPr>
              <w:t>others</w:t>
            </w:r>
          </w:p>
        </w:tc>
        <w:tc>
          <w:tcPr>
            <w:tcW w:type="dxa" w:w="1728"/>
          </w:tcPr>
          <w:p>
            <w:pPr>
              <w:spacing w:after="0" w:before="0"/>
            </w:pPr>
            <w:r>
              <w:rPr>
                <w:sz w:val="18"/>
              </w:rPr>
              <w:t>Score RF</w:t>
            </w:r>
          </w:p>
        </w:tc>
        <w:tc>
          <w:tcPr>
            <w:tcW w:type="dxa" w:w="1728"/>
          </w:tcPr>
          <w:p>
            <w:pPr>
              <w:spacing w:after="0" w:before="0"/>
            </w:pPr>
            <w:r>
              <w:rPr>
                <w:sz w:val="18"/>
              </w:rPr>
              <w:t>0.432</w:t>
            </w:r>
          </w:p>
        </w:tc>
        <w:tc>
          <w:tcPr>
            <w:tcW w:type="dxa" w:w="1728"/>
          </w:tcPr>
          <w:p>
            <w:pPr>
              <w:spacing w:after="0" w:before="0"/>
            </w:pPr>
            <w:r>
              <w:rPr>
                <w:sz w:val="18"/>
              </w:rPr>
              <w:t>0.220</w:t>
            </w:r>
          </w:p>
        </w:tc>
        <w:tc>
          <w:tcPr>
            <w:tcW w:type="dxa" w:w="1728"/>
          </w:tcPr>
          <w:p>
            <w:pPr>
              <w:spacing w:after="0" w:before="0"/>
            </w:pPr>
            <w:r>
              <w:rPr>
                <w:sz w:val="18"/>
              </w:rPr>
              <w:t>49.0%</w:t>
            </w:r>
          </w:p>
        </w:tc>
      </w:tr>
      <w:tr>
        <w:tc>
          <w:tcPr>
            <w:tcW w:type="dxa" w:w="1728"/>
          </w:tcPr>
          <w:p>
            <w:pPr>
              <w:spacing w:after="0" w:before="0"/>
            </w:pPr>
            <w:r>
              <w:rPr>
                <w:sz w:val="18"/>
              </w:rPr>
              <w:t>others</w:t>
            </w:r>
          </w:p>
        </w:tc>
        <w:tc>
          <w:tcPr>
            <w:tcW w:type="dxa" w:w="1728"/>
          </w:tcPr>
          <w:p>
            <w:pPr>
              <w:spacing w:after="0" w:before="0"/>
            </w:pPr>
            <w:r>
              <w:rPr>
                <w:sz w:val="18"/>
              </w:rPr>
              <w:t>Risk Score RF</w:t>
            </w:r>
          </w:p>
        </w:tc>
        <w:tc>
          <w:tcPr>
            <w:tcW w:type="dxa" w:w="1728"/>
          </w:tcPr>
          <w:p>
            <w:pPr>
              <w:spacing w:after="0" w:before="0"/>
            </w:pPr>
            <w:r>
              <w:rPr>
                <w:sz w:val="18"/>
              </w:rPr>
              <w:t>0.450</w:t>
            </w:r>
          </w:p>
        </w:tc>
        <w:tc>
          <w:tcPr>
            <w:tcW w:type="dxa" w:w="1728"/>
          </w:tcPr>
          <w:p>
            <w:pPr>
              <w:spacing w:after="0" w:before="0"/>
            </w:pPr>
            <w:r>
              <w:rPr>
                <w:sz w:val="18"/>
              </w:rPr>
              <w:t>0.458</w:t>
            </w:r>
          </w:p>
        </w:tc>
        <w:tc>
          <w:tcPr>
            <w:tcW w:type="dxa" w:w="1728"/>
          </w:tcPr>
          <w:p>
            <w:pPr>
              <w:spacing w:after="0" w:before="0"/>
            </w:pPr>
            <w:r>
              <w:rPr>
                <w:sz w:val="18"/>
              </w:rPr>
              <w:t>-1.9%</w:t>
            </w:r>
          </w:p>
        </w:tc>
      </w:tr>
      <w:tr>
        <w:tc>
          <w:tcPr>
            <w:tcW w:type="dxa" w:w="1728"/>
          </w:tcPr>
          <w:p>
            <w:pPr>
              <w:spacing w:after="0" w:before="0"/>
            </w:pPr>
            <w:r>
              <w:rPr>
                <w:sz w:val="18"/>
              </w:rPr>
              <w:t>total</w:t>
            </w:r>
          </w:p>
        </w:tc>
        <w:tc>
          <w:tcPr>
            <w:tcW w:type="dxa" w:w="1728"/>
          </w:tcPr>
          <w:p>
            <w:pPr>
              <w:spacing w:after="0" w:before="0"/>
            </w:pPr>
            <w:r>
              <w:rPr>
                <w:sz w:val="18"/>
              </w:rPr>
              <w:t>Score RF</w:t>
            </w:r>
          </w:p>
        </w:tc>
        <w:tc>
          <w:tcPr>
            <w:tcW w:type="dxa" w:w="1728"/>
          </w:tcPr>
          <w:p>
            <w:pPr>
              <w:spacing w:after="0" w:before="0"/>
            </w:pPr>
            <w:r>
              <w:rPr>
                <w:sz w:val="18"/>
              </w:rPr>
              <w:t>0.287</w:t>
            </w:r>
          </w:p>
        </w:tc>
        <w:tc>
          <w:tcPr>
            <w:tcW w:type="dxa" w:w="1728"/>
          </w:tcPr>
          <w:p>
            <w:pPr>
              <w:spacing w:after="0" w:before="0"/>
            </w:pPr>
            <w:r>
              <w:rPr>
                <w:sz w:val="18"/>
              </w:rPr>
              <w:t>0.172</w:t>
            </w:r>
          </w:p>
        </w:tc>
        <w:tc>
          <w:tcPr>
            <w:tcW w:type="dxa" w:w="1728"/>
          </w:tcPr>
          <w:p>
            <w:pPr>
              <w:spacing w:after="0" w:before="0"/>
            </w:pPr>
            <w:r>
              <w:rPr>
                <w:sz w:val="18"/>
              </w:rPr>
              <w:t>40.1%</w:t>
            </w:r>
          </w:p>
        </w:tc>
      </w:tr>
      <w:tr>
        <w:tc>
          <w:tcPr>
            <w:tcW w:type="dxa" w:w="1728"/>
          </w:tcPr>
          <w:p>
            <w:pPr>
              <w:spacing w:after="0" w:before="0"/>
            </w:pPr>
            <w:r>
              <w:rPr>
                <w:sz w:val="18"/>
              </w:rPr>
              <w:t>total</w:t>
            </w:r>
          </w:p>
        </w:tc>
        <w:tc>
          <w:tcPr>
            <w:tcW w:type="dxa" w:w="1728"/>
          </w:tcPr>
          <w:p>
            <w:pPr>
              <w:spacing w:after="0" w:before="0"/>
            </w:pPr>
            <w:r>
              <w:rPr>
                <w:sz w:val="18"/>
              </w:rPr>
              <w:t>Risk Score RF</w:t>
            </w:r>
          </w:p>
        </w:tc>
        <w:tc>
          <w:tcPr>
            <w:tcW w:type="dxa" w:w="1728"/>
          </w:tcPr>
          <w:p>
            <w:pPr>
              <w:spacing w:after="0" w:before="0"/>
            </w:pPr>
            <w:r>
              <w:rPr>
                <w:sz w:val="18"/>
              </w:rPr>
              <w:t>0.380</w:t>
            </w:r>
          </w:p>
        </w:tc>
        <w:tc>
          <w:tcPr>
            <w:tcW w:type="dxa" w:w="1728"/>
          </w:tcPr>
          <w:p>
            <w:pPr>
              <w:spacing w:after="0" w:before="0"/>
            </w:pPr>
            <w:r>
              <w:rPr>
                <w:sz w:val="18"/>
              </w:rPr>
              <w:t>0.354</w:t>
            </w:r>
          </w:p>
        </w:tc>
        <w:tc>
          <w:tcPr>
            <w:tcW w:type="dxa" w:w="1728"/>
          </w:tcPr>
          <w:p>
            <w:pPr>
              <w:spacing w:after="0" w:before="0"/>
            </w:pPr>
            <w:r>
              <w:rPr>
                <w:sz w:val="18"/>
              </w:rPr>
              <w:t>6.9%</w:t>
            </w:r>
          </w:p>
        </w:tc>
      </w:tr>
    </w:tbl>
    <w:p/>
    <w:p>
      <w:pPr/>
      <w:r/>
      <w:r>
        <w:rPr>
          <w:b/>
        </w:rPr>
        <w:t>Interpretation:</w:t>
      </w:r>
      <w:r/>
    </w:p>
    <w:p>
      <w:pPr/>
      <w:r>
        <w:t>This reveals a fundamental difference between the two scores:</w:t>
      </w:r>
    </w:p>
    <w:p>
      <w:pPr>
        <w:pStyle w:val="ListBullet"/>
      </w:pPr>
      <w:r/>
      <w:r>
        <w:rPr>
          <w:b/>
        </w:rPr>
        <w:t>Score RF is highly sensitive to truncation</w:t>
      </w:r>
      <w:r>
        <w:t xml:space="preserve"> (36-49% Gini loss when 50% of the riskiest booked are removed). Its discriminance relies heavily on the tails — without the risky end, it cannot separate good from bad.</w:t>
      </w:r>
    </w:p>
    <w:p>
      <w:pPr>
        <w:pStyle w:val="ListBullet"/>
      </w:pPr>
      <w:r/>
      <w:r>
        <w:rPr>
          <w:b/>
        </w:rPr>
        <w:t>Risk Score RF is robust to truncation</w:t>
      </w:r>
      <w:r>
        <w:t xml:space="preserve"> (only 7-13% loss, and actually </w:t>
      </w:r>
      <w:r>
        <w:rPr>
          <w:i/>
        </w:rPr>
        <w:t>gains</w:t>
      </w:r>
      <w:r>
        <w:t xml:space="preserve"> Gini in "others"). It maintains discriminance even within the narrower safe population. This is a more useful property for a production score.</w:t>
      </w:r>
    </w:p>
    <w:p>
      <w:pPr/>
      <w:r>
        <w:t>The implication: Score RF would benefit most from being evaluated on the full demand, but even with full range, its underlying discrimination mechanism is weaker than Risk Score RF's.</w:t>
      </w:r>
    </w:p>
    <w:p>
      <w:pPr>
        <w:jc w:val="center"/>
      </w:pPr>
      <w:r>
        <w:drawing>
          <wp:inline xmlns:a="http://schemas.openxmlformats.org/drawingml/2006/main" xmlns:pic="http://schemas.openxmlformats.org/drawingml/2006/picture">
            <wp:extent cx="5486400" cy="1334865"/>
            <wp:docPr id="5" name="Picture 5"/>
            <wp:cNvGraphicFramePr>
              <a:graphicFrameLocks noChangeAspect="1"/>
            </wp:cNvGraphicFramePr>
            <a:graphic>
              <a:graphicData uri="http://schemas.openxmlformats.org/drawingml/2006/picture">
                <pic:pic>
                  <pic:nvPicPr>
                    <pic:cNvPr id="0" name="simulated_restriction.png"/>
                    <pic:cNvPicPr/>
                  </pic:nvPicPr>
                  <pic:blipFill>
                    <a:blip r:embed="rId13"/>
                    <a:stretch>
                      <a:fillRect/>
                    </a:stretch>
                  </pic:blipFill>
                  <pic:spPr>
                    <a:xfrm>
                      <a:off x="0" y="0"/>
                      <a:ext cx="5486400" cy="1334865"/>
                    </a:xfrm>
                    <a:prstGeom prst="rect"/>
                  </pic:spPr>
                </pic:pic>
              </a:graphicData>
            </a:graphic>
          </wp:inline>
        </w:drawing>
      </w:r>
    </w:p>
    <w:p>
      <w:pPr>
        <w:pStyle w:val="Heading2"/>
      </w:pPr>
      <w:r>
        <w:t>4. Temporal Acceptance Rate vs Gini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0" w:before="0"/>
            </w:pPr>
            <w:r>
              <w:rPr>
                <w:b/>
                <w:sz w:val="18"/>
              </w:rPr>
              <w:t>Group</w:t>
            </w:r>
          </w:p>
        </w:tc>
        <w:tc>
          <w:tcPr>
            <w:tcW w:type="dxa" w:w="2160"/>
          </w:tcPr>
          <w:p>
            <w:pPr>
              <w:spacing w:after="0" w:before="0"/>
            </w:pPr>
            <w:r>
              <w:rPr>
                <w:b/>
                <w:sz w:val="18"/>
              </w:rPr>
              <w:t>Acceptance Rate Range</w:t>
            </w:r>
          </w:p>
        </w:tc>
        <w:tc>
          <w:tcPr>
            <w:tcW w:type="dxa" w:w="2160"/>
          </w:tcPr>
          <w:p>
            <w:pPr>
              <w:spacing w:after="0" w:before="0"/>
            </w:pPr>
            <w:r>
              <w:rPr>
                <w:b/>
                <w:sz w:val="18"/>
              </w:rPr>
              <w:t>Score RF Gini Range</w:t>
            </w:r>
          </w:p>
        </w:tc>
        <w:tc>
          <w:tcPr>
            <w:tcW w:type="dxa" w:w="2160"/>
          </w:tcPr>
          <w:p>
            <w:pPr>
              <w:spacing w:after="0" w:before="0"/>
            </w:pPr>
            <w:r>
              <w:rPr>
                <w:b/>
                <w:sz w:val="18"/>
              </w:rPr>
              <w:t>Risk Score RF Gini Range</w:t>
            </w:r>
          </w:p>
        </w:tc>
      </w:tr>
      <w:tr>
        <w:tc>
          <w:tcPr>
            <w:tcW w:type="dxa" w:w="2160"/>
          </w:tcPr>
          <w:p>
            <w:pPr>
              <w:spacing w:after="0" w:before="0"/>
            </w:pPr>
            <w:r>
              <w:rPr>
                <w:sz w:val="18"/>
              </w:rPr>
              <w:t>-------</w:t>
            </w:r>
          </w:p>
        </w:tc>
        <w:tc>
          <w:tcPr>
            <w:tcW w:type="dxa" w:w="2160"/>
          </w:tcPr>
          <w:p>
            <w:pPr>
              <w:spacing w:after="0" w:before="0"/>
            </w:pPr>
            <w:r>
              <w:rPr>
                <w:sz w:val="18"/>
              </w:rPr>
              <w:t>:-:</w:t>
            </w:r>
          </w:p>
        </w:tc>
        <w:tc>
          <w:tcPr>
            <w:tcW w:type="dxa" w:w="2160"/>
          </w:tcPr>
          <w:p>
            <w:pPr>
              <w:spacing w:after="0" w:before="0"/>
            </w:pPr>
            <w:r>
              <w:rPr>
                <w:sz w:val="18"/>
              </w:rPr>
              <w:t>:-:</w:t>
            </w:r>
          </w:p>
        </w:tc>
        <w:tc>
          <w:tcPr>
            <w:tcW w:type="dxa" w:w="2160"/>
          </w:tcPr>
          <w:p>
            <w:pPr>
              <w:spacing w:after="0" w:before="0"/>
            </w:pPr>
            <w:r>
              <w:rPr>
                <w:sz w:val="18"/>
              </w:rPr>
              <w:t>:-:</w:t>
            </w:r>
          </w:p>
        </w:tc>
      </w:tr>
      <w:tr>
        <w:tc>
          <w:tcPr>
            <w:tcW w:type="dxa" w:w="2160"/>
          </w:tcPr>
          <w:p>
            <w:pPr>
              <w:spacing w:after="0" w:before="0"/>
            </w:pPr>
            <w:r>
              <w:rPr>
                <w:sz w:val="18"/>
              </w:rPr>
              <w:t>known</w:t>
            </w:r>
          </w:p>
        </w:tc>
        <w:tc>
          <w:tcPr>
            <w:tcW w:type="dxa" w:w="2160"/>
          </w:tcPr>
          <w:p>
            <w:pPr>
              <w:spacing w:after="0" w:before="0"/>
            </w:pPr>
            <w:r>
              <w:rPr>
                <w:sz w:val="18"/>
              </w:rPr>
              <w:t>14.9% - 15.9%</w:t>
            </w:r>
          </w:p>
        </w:tc>
        <w:tc>
          <w:tcPr>
            <w:tcW w:type="dxa" w:w="2160"/>
          </w:tcPr>
          <w:p>
            <w:pPr>
              <w:spacing w:after="0" w:before="0"/>
            </w:pPr>
            <w:r>
              <w:rPr>
                <w:sz w:val="18"/>
              </w:rPr>
              <w:t>0.12 - 0.30</w:t>
            </w:r>
          </w:p>
        </w:tc>
        <w:tc>
          <w:tcPr>
            <w:tcW w:type="dxa" w:w="2160"/>
          </w:tcPr>
          <w:p>
            <w:pPr>
              <w:spacing w:after="0" w:before="0"/>
            </w:pPr>
            <w:r>
              <w:rPr>
                <w:sz w:val="18"/>
              </w:rPr>
              <w:t>0.32 - 0.40</w:t>
            </w:r>
          </w:p>
        </w:tc>
      </w:tr>
      <w:tr>
        <w:tc>
          <w:tcPr>
            <w:tcW w:type="dxa" w:w="2160"/>
          </w:tcPr>
          <w:p>
            <w:pPr>
              <w:spacing w:after="0" w:before="0"/>
            </w:pPr>
            <w:r>
              <w:rPr>
                <w:sz w:val="18"/>
              </w:rPr>
              <w:t>others</w:t>
            </w:r>
          </w:p>
        </w:tc>
        <w:tc>
          <w:tcPr>
            <w:tcW w:type="dxa" w:w="2160"/>
          </w:tcPr>
          <w:p>
            <w:pPr>
              <w:spacing w:after="0" w:before="0"/>
            </w:pPr>
            <w:r>
              <w:rPr>
                <w:sz w:val="18"/>
              </w:rPr>
              <w:t>1.7% - 3.3%</w:t>
            </w:r>
          </w:p>
        </w:tc>
        <w:tc>
          <w:tcPr>
            <w:tcW w:type="dxa" w:w="2160"/>
          </w:tcPr>
          <w:p>
            <w:pPr>
              <w:spacing w:after="0" w:before="0"/>
            </w:pPr>
            <w:r>
              <w:rPr>
                <w:sz w:val="18"/>
              </w:rPr>
              <w:t>0.24 - 0.47</w:t>
            </w:r>
          </w:p>
        </w:tc>
        <w:tc>
          <w:tcPr>
            <w:tcW w:type="dxa" w:w="2160"/>
          </w:tcPr>
          <w:p>
            <w:pPr>
              <w:spacing w:after="0" w:before="0"/>
            </w:pPr>
            <w:r>
              <w:rPr>
                <w:sz w:val="18"/>
              </w:rPr>
              <w:t>0.25 - 0.58</w:t>
            </w:r>
          </w:p>
        </w:tc>
      </w:tr>
      <w:tr>
        <w:tc>
          <w:tcPr>
            <w:tcW w:type="dxa" w:w="2160"/>
          </w:tcPr>
          <w:p>
            <w:pPr>
              <w:spacing w:after="0" w:before="0"/>
            </w:pPr>
            <w:r>
              <w:rPr>
                <w:sz w:val="18"/>
              </w:rPr>
              <w:t>total</w:t>
            </w:r>
          </w:p>
        </w:tc>
        <w:tc>
          <w:tcPr>
            <w:tcW w:type="dxa" w:w="2160"/>
          </w:tcPr>
          <w:p>
            <w:pPr>
              <w:spacing w:after="0" w:before="0"/>
            </w:pPr>
            <w:r>
              <w:rPr>
                <w:sz w:val="18"/>
              </w:rPr>
              <w:t>6.2% - 8.2%</w:t>
            </w:r>
          </w:p>
        </w:tc>
        <w:tc>
          <w:tcPr>
            <w:tcW w:type="dxa" w:w="2160"/>
          </w:tcPr>
          <w:p>
            <w:pPr>
              <w:spacing w:after="0" w:before="0"/>
            </w:pPr>
            <w:r>
              <w:rPr>
                <w:sz w:val="18"/>
              </w:rPr>
              <w:t>0.21 - 0.33</w:t>
            </w:r>
          </w:p>
        </w:tc>
        <w:tc>
          <w:tcPr>
            <w:tcW w:type="dxa" w:w="2160"/>
          </w:tcPr>
          <w:p>
            <w:pPr>
              <w:spacing w:after="0" w:before="0"/>
            </w:pPr>
            <w:r>
              <w:rPr>
                <w:sz w:val="18"/>
              </w:rPr>
              <w:t>0.31 - 0.46</w:t>
            </w:r>
          </w:p>
        </w:tc>
      </w:tr>
    </w:tbl>
    <w:p/>
    <w:p>
      <w:pPr/>
      <w:r/>
      <w:r>
        <w:rPr>
          <w:b/>
        </w:rPr>
        <w:t>Interpretation:</w:t>
      </w:r>
      <w:r/>
    </w:p>
    <w:p>
      <w:pPr>
        <w:pStyle w:val="ListBullet"/>
      </w:pPr>
      <w:r/>
      <w:r>
        <w:rPr>
          <w:b/>
        </w:rPr>
        <w:t>"Known"</w:t>
      </w:r>
      <w:r>
        <w:t>: acceptance rate barely varies (15.0-15.9%), yet Score RF Gini fluctuates widely (0.12-0.30). This variation cannot be explained by selection bias changes — it reflects either sampling noise or genuine score instability.</w:t>
      </w:r>
    </w:p>
    <w:p>
      <w:pPr>
        <w:pStyle w:val="ListBullet"/>
      </w:pPr>
      <w:r/>
      <w:r>
        <w:rPr>
          <w:b/>
        </w:rPr>
        <w:t>"Others"</w:t>
      </w:r>
      <w:r>
        <w:t>: acceptance rate nearly doubles (1.7% → 3.3%), but sample sizes are very small (16-70 bads per 3-month window), making Gini estimates extremely noisy. No reliable trend can be extracted.</w:t>
      </w:r>
    </w:p>
    <w:p>
      <w:pPr>
        <w:pStyle w:val="ListBullet"/>
      </w:pPr>
      <w:r/>
      <w:r>
        <w:rPr>
          <w:b/>
        </w:rPr>
        <w:t>"Total"</w:t>
      </w:r>
      <w:r>
        <w:t xml:space="preserve">: acceptance rate increases from 6.2% to 8.2%. Risk Score RF Gini also increases (0.34 → 0.46), but this is the </w:t>
      </w:r>
      <w:r>
        <w:rPr>
          <w:b/>
        </w:rPr>
        <w:t>opposite</w:t>
      </w:r>
      <w:r>
        <w:t xml:space="preserve"> of what selection bias predicts (higher acceptance = less truncation → higher Gini should happen only if bias was depressing it). More likely, this reflects a changing population mix as "others" grows.</w:t>
      </w:r>
    </w:p>
    <w:p>
      <w:pPr/>
      <w:r/>
      <w:r>
        <w:rPr>
          <w:b/>
        </w:rPr>
        <w:t>Conclusion</w:t>
      </w:r>
      <w:r>
        <w:t xml:space="preserve">: The temporal analysis is </w:t>
      </w:r>
      <w:r>
        <w:rPr>
          <w:b/>
        </w:rPr>
        <w:t>inconclusive</w:t>
      </w:r>
      <w:r>
        <w:t xml:space="preserve"> for proving selection bias due to (a) insufficient variation in acceptance rates for "known" and (b) too-small samples for "others".</w:t>
      </w:r>
    </w:p>
    <w:p>
      <w:pPr>
        <w:jc w:val="center"/>
      </w:pPr>
      <w:r>
        <w:drawing>
          <wp:inline xmlns:a="http://schemas.openxmlformats.org/drawingml/2006/main" xmlns:pic="http://schemas.openxmlformats.org/drawingml/2006/picture">
            <wp:extent cx="5486400" cy="4031833"/>
            <wp:docPr id="6" name="Picture 6"/>
            <wp:cNvGraphicFramePr>
              <a:graphicFrameLocks noChangeAspect="1"/>
            </wp:cNvGraphicFramePr>
            <a:graphic>
              <a:graphicData uri="http://schemas.openxmlformats.org/drawingml/2006/picture">
                <pic:pic>
                  <pic:nvPicPr>
                    <pic:cNvPr id="0" name="temporal_acceptance_vs_gini.png"/>
                    <pic:cNvPicPr/>
                  </pic:nvPicPr>
                  <pic:blipFill>
                    <a:blip r:embed="rId14"/>
                    <a:stretch>
                      <a:fillRect/>
                    </a:stretch>
                  </pic:blipFill>
                  <pic:spPr>
                    <a:xfrm>
                      <a:off x="0" y="0"/>
                      <a:ext cx="5486400" cy="4031833"/>
                    </a:xfrm>
                    <a:prstGeom prst="rect"/>
                  </pic:spPr>
                </pic:pic>
              </a:graphicData>
            </a:graphic>
          </wp:inline>
        </w:drawing>
      </w:r>
    </w:p>
    <w:p>
      <w:pPr>
        <w:pStyle w:val="Heading2"/>
      </w:pPr>
      <w:r>
        <w:t>5. Rejection Profiles</w:t>
      </w:r>
    </w:p>
    <w:p>
      <w:pPr/>
      <w:r/>
      <w:r>
        <w:rPr>
          <w:b/>
        </w:rPr>
        <w:t>"Known" group</w:t>
      </w:r>
      <w:r>
        <w:t xml:space="preserve"> — Score RF:</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0" w:before="0"/>
            </w:pPr>
            <w:r>
              <w:rPr>
                <w:b/>
                <w:sz w:val="18"/>
              </w:rPr>
              <w:t>Decile (1=safest)</w:t>
            </w:r>
          </w:p>
        </w:tc>
        <w:tc>
          <w:tcPr>
            <w:tcW w:type="dxa" w:w="2160"/>
          </w:tcPr>
          <w:p>
            <w:pPr>
              <w:spacing w:after="0" w:before="0"/>
            </w:pPr>
            <w:r>
              <w:rPr>
                <w:b/>
                <w:sz w:val="18"/>
              </w:rPr>
              <w:t>Booked</w:t>
            </w:r>
          </w:p>
        </w:tc>
        <w:tc>
          <w:tcPr>
            <w:tcW w:type="dxa" w:w="2160"/>
          </w:tcPr>
          <w:p>
            <w:pPr>
              <w:spacing w:after="0" w:before="0"/>
            </w:pPr>
            <w:r>
              <w:rPr>
                <w:b/>
                <w:sz w:val="18"/>
              </w:rPr>
              <w:t>Rejected</w:t>
            </w:r>
          </w:p>
        </w:tc>
        <w:tc>
          <w:tcPr>
            <w:tcW w:type="dxa" w:w="2160"/>
          </w:tcPr>
          <w:p>
            <w:pPr>
              <w:spacing w:after="0" w:before="0"/>
            </w:pPr>
            <w:r>
              <w:rPr>
                <w:b/>
                <w:sz w:val="18"/>
              </w:rPr>
              <w:t>Rejection Rate</w:t>
            </w:r>
          </w:p>
        </w:tc>
      </w:tr>
      <w:tr>
        <w:tc>
          <w:tcPr>
            <w:tcW w:type="dxa" w:w="2160"/>
          </w:tcPr>
          <w:p>
            <w:pPr>
              <w:spacing w:after="0" w:before="0"/>
            </w:pPr>
            <w:r>
              <w:rPr>
                <w:sz w:val="18"/>
              </w:rPr>
              <w:t>:-:</w:t>
            </w:r>
          </w:p>
        </w:tc>
        <w:tc>
          <w:tcPr>
            <w:tcW w:type="dxa" w:w="2160"/>
          </w:tcPr>
          <w:p>
            <w:pPr>
              <w:spacing w:after="0" w:before="0"/>
            </w:pPr>
            <w:r>
              <w:rPr>
                <w:sz w:val="18"/>
              </w:rPr>
              <w:t>:-:</w:t>
            </w:r>
          </w:p>
        </w:tc>
        <w:tc>
          <w:tcPr>
            <w:tcW w:type="dxa" w:w="2160"/>
          </w:tcPr>
          <w:p>
            <w:pPr>
              <w:spacing w:after="0" w:before="0"/>
            </w:pPr>
            <w:r>
              <w:rPr>
                <w:sz w:val="18"/>
              </w:rPr>
              <w:t>:-:</w:t>
            </w:r>
          </w:p>
        </w:tc>
        <w:tc>
          <w:tcPr>
            <w:tcW w:type="dxa" w:w="2160"/>
          </w:tcPr>
          <w:p>
            <w:pPr>
              <w:spacing w:after="0" w:before="0"/>
            </w:pPr>
            <w:r>
              <w:rPr>
                <w:sz w:val="18"/>
              </w:rPr>
              <w:t>:-:</w:t>
            </w:r>
          </w:p>
        </w:tc>
      </w:tr>
      <w:tr>
        <w:tc>
          <w:tcPr>
            <w:tcW w:type="dxa" w:w="2160"/>
          </w:tcPr>
          <w:p>
            <w:pPr>
              <w:spacing w:after="0" w:before="0"/>
            </w:pPr>
            <w:r>
              <w:rPr>
                <w:sz w:val="18"/>
              </w:rPr>
              <w:t>1</w:t>
            </w:r>
          </w:p>
        </w:tc>
        <w:tc>
          <w:tcPr>
            <w:tcW w:type="dxa" w:w="2160"/>
          </w:tcPr>
          <w:p>
            <w:pPr>
              <w:spacing w:after="0" w:before="0"/>
            </w:pPr>
            <w:r>
              <w:rPr>
                <w:sz w:val="18"/>
              </w:rPr>
              <w:t>3,471</w:t>
            </w:r>
          </w:p>
        </w:tc>
        <w:tc>
          <w:tcPr>
            <w:tcW w:type="dxa" w:w="2160"/>
          </w:tcPr>
          <w:p>
            <w:pPr>
              <w:spacing w:after="0" w:before="0"/>
            </w:pPr>
            <w:r>
              <w:rPr>
                <w:sz w:val="18"/>
              </w:rPr>
              <w:t>11,634</w:t>
            </w:r>
          </w:p>
        </w:tc>
        <w:tc>
          <w:tcPr>
            <w:tcW w:type="dxa" w:w="2160"/>
          </w:tcPr>
          <w:p>
            <w:pPr>
              <w:spacing w:after="0" w:before="0"/>
            </w:pPr>
            <w:r>
              <w:rPr>
                <w:sz w:val="18"/>
              </w:rPr>
              <w:t>77.0%</w:t>
            </w:r>
          </w:p>
        </w:tc>
      </w:tr>
      <w:tr>
        <w:tc>
          <w:tcPr>
            <w:tcW w:type="dxa" w:w="2160"/>
          </w:tcPr>
          <w:p>
            <w:pPr>
              <w:spacing w:after="0" w:before="0"/>
            </w:pPr>
            <w:r>
              <w:rPr>
                <w:sz w:val="18"/>
              </w:rPr>
              <w:t>5</w:t>
            </w:r>
          </w:p>
        </w:tc>
        <w:tc>
          <w:tcPr>
            <w:tcW w:type="dxa" w:w="2160"/>
          </w:tcPr>
          <w:p>
            <w:pPr>
              <w:spacing w:after="0" w:before="0"/>
            </w:pPr>
            <w:r>
              <w:rPr>
                <w:sz w:val="18"/>
              </w:rPr>
              <w:t>3,037</w:t>
            </w:r>
          </w:p>
        </w:tc>
        <w:tc>
          <w:tcPr>
            <w:tcW w:type="dxa" w:w="2160"/>
          </w:tcPr>
          <w:p>
            <w:pPr>
              <w:spacing w:after="0" w:before="0"/>
            </w:pPr>
            <w:r>
              <w:rPr>
                <w:sz w:val="18"/>
              </w:rPr>
              <w:t>12,496</w:t>
            </w:r>
          </w:p>
        </w:tc>
        <w:tc>
          <w:tcPr>
            <w:tcW w:type="dxa" w:w="2160"/>
          </w:tcPr>
          <w:p>
            <w:pPr>
              <w:spacing w:after="0" w:before="0"/>
            </w:pPr>
            <w:r>
              <w:rPr>
                <w:sz w:val="18"/>
              </w:rPr>
              <w:t>80.5%</w:t>
            </w:r>
          </w:p>
        </w:tc>
      </w:tr>
      <w:tr>
        <w:tc>
          <w:tcPr>
            <w:tcW w:type="dxa" w:w="2160"/>
          </w:tcPr>
          <w:p>
            <w:pPr>
              <w:spacing w:after="0" w:before="0"/>
            </w:pPr>
            <w:r>
              <w:rPr>
                <w:sz w:val="18"/>
              </w:rPr>
              <w:t>10</w:t>
            </w:r>
          </w:p>
        </w:tc>
        <w:tc>
          <w:tcPr>
            <w:tcW w:type="dxa" w:w="2160"/>
          </w:tcPr>
          <w:p>
            <w:pPr>
              <w:spacing w:after="0" w:before="0"/>
            </w:pPr>
            <w:r>
              <w:rPr>
                <w:sz w:val="18"/>
              </w:rPr>
              <w:t>95</w:t>
            </w:r>
          </w:p>
        </w:tc>
        <w:tc>
          <w:tcPr>
            <w:tcW w:type="dxa" w:w="2160"/>
          </w:tcPr>
          <w:p>
            <w:pPr>
              <w:spacing w:after="0" w:before="0"/>
            </w:pPr>
            <w:r>
              <w:rPr>
                <w:sz w:val="18"/>
              </w:rPr>
              <w:t>7,652</w:t>
            </w:r>
          </w:p>
        </w:tc>
        <w:tc>
          <w:tcPr>
            <w:tcW w:type="dxa" w:w="2160"/>
          </w:tcPr>
          <w:p>
            <w:pPr>
              <w:spacing w:after="0" w:before="0"/>
            </w:pPr>
            <w:r>
              <w:rPr>
                <w:sz w:val="18"/>
              </w:rPr>
              <w:t>98.8%</w:t>
            </w:r>
          </w:p>
        </w:tc>
      </w:tr>
    </w:tbl>
    <w:p/>
    <w:p>
      <w:pPr/>
      <w:r>
        <w:t>Rejection increases from 77% to 99% across deciles — a clear gradient confirming score-based selection, but even the safest decile has 77% rejection, meaning most rejection is not score-driven.</w:t>
      </w:r>
    </w:p>
    <w:p>
      <w:pPr/>
      <w:r/>
      <w:r>
        <w:rPr>
          <w:b/>
        </w:rPr>
        <w:t>"Others" group</w:t>
      </w:r>
      <w:r>
        <w:t xml:space="preserve"> — Score RF:</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0" w:before="0"/>
            </w:pPr>
            <w:r>
              <w:rPr>
                <w:b/>
                <w:sz w:val="18"/>
              </w:rPr>
              <w:t>Decile (1=safest)</w:t>
            </w:r>
          </w:p>
        </w:tc>
        <w:tc>
          <w:tcPr>
            <w:tcW w:type="dxa" w:w="2160"/>
          </w:tcPr>
          <w:p>
            <w:pPr>
              <w:spacing w:after="0" w:before="0"/>
            </w:pPr>
            <w:r>
              <w:rPr>
                <w:b/>
                <w:sz w:val="18"/>
              </w:rPr>
              <w:t>Booked</w:t>
            </w:r>
          </w:p>
        </w:tc>
        <w:tc>
          <w:tcPr>
            <w:tcW w:type="dxa" w:w="2160"/>
          </w:tcPr>
          <w:p>
            <w:pPr>
              <w:spacing w:after="0" w:before="0"/>
            </w:pPr>
            <w:r>
              <w:rPr>
                <w:b/>
                <w:sz w:val="18"/>
              </w:rPr>
              <w:t>Rejected</w:t>
            </w:r>
          </w:p>
        </w:tc>
        <w:tc>
          <w:tcPr>
            <w:tcW w:type="dxa" w:w="2160"/>
          </w:tcPr>
          <w:p>
            <w:pPr>
              <w:spacing w:after="0" w:before="0"/>
            </w:pPr>
            <w:r>
              <w:rPr>
                <w:b/>
                <w:sz w:val="18"/>
              </w:rPr>
              <w:t>Rejection Rate</w:t>
            </w:r>
          </w:p>
        </w:tc>
      </w:tr>
      <w:tr>
        <w:tc>
          <w:tcPr>
            <w:tcW w:type="dxa" w:w="2160"/>
          </w:tcPr>
          <w:p>
            <w:pPr>
              <w:spacing w:after="0" w:before="0"/>
            </w:pPr>
            <w:r>
              <w:rPr>
                <w:sz w:val="18"/>
              </w:rPr>
              <w:t>:-:</w:t>
            </w:r>
          </w:p>
        </w:tc>
        <w:tc>
          <w:tcPr>
            <w:tcW w:type="dxa" w:w="2160"/>
          </w:tcPr>
          <w:p>
            <w:pPr>
              <w:spacing w:after="0" w:before="0"/>
            </w:pPr>
            <w:r>
              <w:rPr>
                <w:sz w:val="18"/>
              </w:rPr>
              <w:t>:-:</w:t>
            </w:r>
          </w:p>
        </w:tc>
        <w:tc>
          <w:tcPr>
            <w:tcW w:type="dxa" w:w="2160"/>
          </w:tcPr>
          <w:p>
            <w:pPr>
              <w:spacing w:after="0" w:before="0"/>
            </w:pPr>
            <w:r>
              <w:rPr>
                <w:sz w:val="18"/>
              </w:rPr>
              <w:t>:-:</w:t>
            </w:r>
          </w:p>
        </w:tc>
        <w:tc>
          <w:tcPr>
            <w:tcW w:type="dxa" w:w="2160"/>
          </w:tcPr>
          <w:p>
            <w:pPr>
              <w:spacing w:after="0" w:before="0"/>
            </w:pPr>
            <w:r>
              <w:rPr>
                <w:sz w:val="18"/>
              </w:rPr>
              <w:t>:-:</w:t>
            </w:r>
          </w:p>
        </w:tc>
      </w:tr>
      <w:tr>
        <w:tc>
          <w:tcPr>
            <w:tcW w:type="dxa" w:w="2160"/>
          </w:tcPr>
          <w:p>
            <w:pPr>
              <w:spacing w:after="0" w:before="0"/>
            </w:pPr>
            <w:r>
              <w:rPr>
                <w:sz w:val="18"/>
              </w:rPr>
              <w:t>1</w:t>
            </w:r>
          </w:p>
        </w:tc>
        <w:tc>
          <w:tcPr>
            <w:tcW w:type="dxa" w:w="2160"/>
          </w:tcPr>
          <w:p>
            <w:pPr>
              <w:spacing w:after="0" w:before="0"/>
            </w:pPr>
            <w:r>
              <w:rPr>
                <w:sz w:val="18"/>
              </w:rPr>
              <w:t>3,163</w:t>
            </w:r>
          </w:p>
        </w:tc>
        <w:tc>
          <w:tcPr>
            <w:tcW w:type="dxa" w:w="2160"/>
          </w:tcPr>
          <w:p>
            <w:pPr>
              <w:spacing w:after="0" w:before="0"/>
            </w:pPr>
            <w:r>
              <w:rPr>
                <w:sz w:val="18"/>
              </w:rPr>
              <w:t>25,252</w:t>
            </w:r>
          </w:p>
        </w:tc>
        <w:tc>
          <w:tcPr>
            <w:tcW w:type="dxa" w:w="2160"/>
          </w:tcPr>
          <w:p>
            <w:pPr>
              <w:spacing w:after="0" w:before="0"/>
            </w:pPr>
            <w:r>
              <w:rPr>
                <w:sz w:val="18"/>
              </w:rPr>
              <w:t>88.9%</w:t>
            </w:r>
          </w:p>
        </w:tc>
      </w:tr>
      <w:tr>
        <w:tc>
          <w:tcPr>
            <w:tcW w:type="dxa" w:w="2160"/>
          </w:tcPr>
          <w:p>
            <w:pPr>
              <w:spacing w:after="0" w:before="0"/>
            </w:pPr>
            <w:r>
              <w:rPr>
                <w:sz w:val="18"/>
              </w:rPr>
              <w:t>5</w:t>
            </w:r>
          </w:p>
        </w:tc>
        <w:tc>
          <w:tcPr>
            <w:tcW w:type="dxa" w:w="2160"/>
          </w:tcPr>
          <w:p>
            <w:pPr>
              <w:spacing w:after="0" w:before="0"/>
            </w:pPr>
            <w:r>
              <w:rPr>
                <w:sz w:val="18"/>
              </w:rPr>
              <w:t>130</w:t>
            </w:r>
          </w:p>
        </w:tc>
        <w:tc>
          <w:tcPr>
            <w:tcW w:type="dxa" w:w="2160"/>
          </w:tcPr>
          <w:p>
            <w:pPr>
              <w:spacing w:after="0" w:before="0"/>
            </w:pPr>
            <w:r>
              <w:rPr>
                <w:sz w:val="18"/>
              </w:rPr>
              <w:t>12,962</w:t>
            </w:r>
          </w:p>
        </w:tc>
        <w:tc>
          <w:tcPr>
            <w:tcW w:type="dxa" w:w="2160"/>
          </w:tcPr>
          <w:p>
            <w:pPr>
              <w:spacing w:after="0" w:before="0"/>
            </w:pPr>
            <w:r>
              <w:rPr>
                <w:sz w:val="18"/>
              </w:rPr>
              <w:t>99.0%</w:t>
            </w:r>
          </w:p>
        </w:tc>
      </w:tr>
      <w:tr>
        <w:tc>
          <w:tcPr>
            <w:tcW w:type="dxa" w:w="2160"/>
          </w:tcPr>
          <w:p>
            <w:pPr>
              <w:spacing w:after="0" w:before="0"/>
            </w:pPr>
            <w:r>
              <w:rPr>
                <w:sz w:val="18"/>
              </w:rPr>
              <w:t>9</w:t>
            </w:r>
          </w:p>
        </w:tc>
        <w:tc>
          <w:tcPr>
            <w:tcW w:type="dxa" w:w="2160"/>
          </w:tcPr>
          <w:p>
            <w:pPr>
              <w:spacing w:after="0" w:before="0"/>
            </w:pPr>
            <w:r>
              <w:rPr>
                <w:sz w:val="18"/>
              </w:rPr>
              <w:t>2</w:t>
            </w:r>
          </w:p>
        </w:tc>
        <w:tc>
          <w:tcPr>
            <w:tcW w:type="dxa" w:w="2160"/>
          </w:tcPr>
          <w:p>
            <w:pPr>
              <w:spacing w:after="0" w:before="0"/>
            </w:pPr>
            <w:r>
              <w:rPr>
                <w:sz w:val="18"/>
              </w:rPr>
              <w:t>1,897</w:t>
            </w:r>
          </w:p>
        </w:tc>
        <w:tc>
          <w:tcPr>
            <w:tcW w:type="dxa" w:w="2160"/>
          </w:tcPr>
          <w:p>
            <w:pPr>
              <w:spacing w:after="0" w:before="0"/>
            </w:pPr>
            <w:r>
              <w:rPr>
                <w:sz w:val="18"/>
              </w:rPr>
              <w:t>99.9%</w:t>
            </w:r>
          </w:p>
        </w:tc>
      </w:tr>
    </w:tbl>
    <w:p/>
    <w:p>
      <w:pPr/>
      <w:r>
        <w:t xml:space="preserve">Rejection is 89-100% across all deciles. Even the safest applicants have 89% rejection. </w:t>
      </w:r>
      <w:r>
        <w:rPr>
          <w:b/>
        </w:rPr>
        <w:t>This confirms that "others" rejection is overwhelmingly non-score-based</w:t>
      </w:r>
      <w:r>
        <w:t xml:space="preserve"> — policy rules, not the score, drive the extreme rejection rates.</w:t>
      </w:r>
    </w:p>
    <w:p>
      <w:pPr>
        <w:pStyle w:val="Heading3"/>
      </w:pPr>
      <w:r>
        <w:t>"Known" — clear gradient from 77% to 99% rejection, but high baseline rejection even in the safest decile:</w:t>
      </w:r>
    </w:p>
    <w:p>
      <w:pPr>
        <w:jc w:val="center"/>
      </w:pPr>
      <w:r>
        <w:drawing>
          <wp:inline xmlns:a="http://schemas.openxmlformats.org/drawingml/2006/main" xmlns:pic="http://schemas.openxmlformats.org/drawingml/2006/picture">
            <wp:extent cx="5486400" cy="2058069"/>
            <wp:docPr id="7" name="Picture 7"/>
            <wp:cNvGraphicFramePr>
              <a:graphicFrameLocks noChangeAspect="1"/>
            </wp:cNvGraphicFramePr>
            <a:graphic>
              <a:graphicData uri="http://schemas.openxmlformats.org/drawingml/2006/picture">
                <pic:pic>
                  <pic:nvPicPr>
                    <pic:cNvPr id="0" name="rejection_profile_known_main.png"/>
                    <pic:cNvPicPr/>
                  </pic:nvPicPr>
                  <pic:blipFill>
                    <a:blip r:embed="rId15"/>
                    <a:stretch>
                      <a:fillRect/>
                    </a:stretch>
                  </pic:blipFill>
                  <pic:spPr>
                    <a:xfrm>
                      <a:off x="0" y="0"/>
                      <a:ext cx="5486400" cy="2058069"/>
                    </a:xfrm>
                    <a:prstGeom prst="rect"/>
                  </pic:spPr>
                </pic:pic>
              </a:graphicData>
            </a:graphic>
          </wp:inline>
        </w:drawing>
      </w:r>
    </w:p>
    <w:p>
      <w:pPr>
        <w:pStyle w:val="Heading3"/>
      </w:pPr>
      <w:r>
        <w:t>"Others" — near-total rejection across all deciles, confirming non-score-based selection:</w:t>
      </w:r>
    </w:p>
    <w:p>
      <w:pPr>
        <w:jc w:val="center"/>
      </w:pPr>
      <w:r>
        <w:drawing>
          <wp:inline xmlns:a="http://schemas.openxmlformats.org/drawingml/2006/main" xmlns:pic="http://schemas.openxmlformats.org/drawingml/2006/picture">
            <wp:extent cx="5486400" cy="2059073"/>
            <wp:docPr id="8" name="Picture 8"/>
            <wp:cNvGraphicFramePr>
              <a:graphicFrameLocks noChangeAspect="1"/>
            </wp:cNvGraphicFramePr>
            <a:graphic>
              <a:graphicData uri="http://schemas.openxmlformats.org/drawingml/2006/picture">
                <pic:pic>
                  <pic:nvPicPr>
                    <pic:cNvPr id="0" name="rejection_profile_others_main.png"/>
                    <pic:cNvPicPr/>
                  </pic:nvPicPr>
                  <pic:blipFill>
                    <a:blip r:embed="rId16"/>
                    <a:stretch>
                      <a:fillRect/>
                    </a:stretch>
                  </pic:blipFill>
                  <pic:spPr>
                    <a:xfrm>
                      <a:off x="0" y="0"/>
                      <a:ext cx="5486400" cy="2059073"/>
                    </a:xfrm>
                    <a:prstGeom prst="rect"/>
                  </pic:spPr>
                </pic:pic>
              </a:graphicData>
            </a:graphic>
          </wp:inline>
        </w:drawing>
      </w:r>
    </w:p>
    <w:p>
      <w:pPr>
        <w:pStyle w:val="Heading3"/>
      </w:pPr>
      <w:r>
        <w:t>Total:</w:t>
      </w:r>
    </w:p>
    <w:p>
      <w:pPr>
        <w:jc w:val="center"/>
      </w:pPr>
      <w:r>
        <w:drawing>
          <wp:inline xmlns:a="http://schemas.openxmlformats.org/drawingml/2006/main" xmlns:pic="http://schemas.openxmlformats.org/drawingml/2006/picture">
            <wp:extent cx="5486400" cy="2059073"/>
            <wp:docPr id="9" name="Picture 9"/>
            <wp:cNvGraphicFramePr>
              <a:graphicFrameLocks noChangeAspect="1"/>
            </wp:cNvGraphicFramePr>
            <a:graphic>
              <a:graphicData uri="http://schemas.openxmlformats.org/drawingml/2006/picture">
                <pic:pic>
                  <pic:nvPicPr>
                    <pic:cNvPr id="0" name="rejection_profile_total_main.png"/>
                    <pic:cNvPicPr/>
                  </pic:nvPicPr>
                  <pic:blipFill>
                    <a:blip r:embed="rId17"/>
                    <a:stretch>
                      <a:fillRect/>
                    </a:stretch>
                  </pic:blipFill>
                  <pic:spPr>
                    <a:xfrm>
                      <a:off x="0" y="0"/>
                      <a:ext cx="5486400" cy="2059073"/>
                    </a:xfrm>
                    <a:prstGeom prst="rect"/>
                  </pic:spPr>
                </pic:pic>
              </a:graphicData>
            </a:graphic>
          </wp:inline>
        </w:drawing>
      </w:r>
    </w:p>
    <w:p>
      <w:pPr>
        <w:pStyle w:val="Heading2"/>
      </w:pPr>
      <w:r>
        <w:t>6. Cross-Group Scatter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0" w:before="0"/>
            </w:pPr>
            <w:r>
              <w:rPr>
                <w:b/>
                <w:sz w:val="18"/>
              </w:rPr>
              <w:t>Group</w:t>
            </w:r>
          </w:p>
        </w:tc>
        <w:tc>
          <w:tcPr>
            <w:tcW w:type="dxa" w:w="2160"/>
          </w:tcPr>
          <w:p>
            <w:pPr>
              <w:spacing w:after="0" w:before="0"/>
            </w:pPr>
            <w:r>
              <w:rPr>
                <w:b/>
                <w:sz w:val="18"/>
              </w:rPr>
              <w:t>Accept Rate</w:t>
            </w:r>
          </w:p>
        </w:tc>
        <w:tc>
          <w:tcPr>
            <w:tcW w:type="dxa" w:w="2160"/>
          </w:tcPr>
          <w:p>
            <w:pPr>
              <w:spacing w:after="0" w:before="0"/>
            </w:pPr>
            <w:r>
              <w:rPr>
                <w:b/>
                <w:sz w:val="18"/>
              </w:rPr>
              <w:t>Score RF Gini</w:t>
            </w:r>
          </w:p>
        </w:tc>
        <w:tc>
          <w:tcPr>
            <w:tcW w:type="dxa" w:w="2160"/>
          </w:tcPr>
          <w:p>
            <w:pPr>
              <w:spacing w:after="0" w:before="0"/>
            </w:pPr>
            <w:r>
              <w:rPr>
                <w:b/>
                <w:sz w:val="18"/>
              </w:rPr>
              <w:t>Risk Score RF Gini</w:t>
            </w:r>
          </w:p>
        </w:tc>
      </w:tr>
      <w:tr>
        <w:tc>
          <w:tcPr>
            <w:tcW w:type="dxa" w:w="2160"/>
          </w:tcPr>
          <w:p>
            <w:pPr>
              <w:spacing w:after="0" w:before="0"/>
            </w:pPr>
            <w:r>
              <w:rPr>
                <w:sz w:val="18"/>
              </w:rPr>
              <w:t>-------</w:t>
            </w:r>
          </w:p>
        </w:tc>
        <w:tc>
          <w:tcPr>
            <w:tcW w:type="dxa" w:w="2160"/>
          </w:tcPr>
          <w:p>
            <w:pPr>
              <w:spacing w:after="0" w:before="0"/>
            </w:pPr>
            <w:r>
              <w:rPr>
                <w:sz w:val="18"/>
              </w:rPr>
              <w:t>:-:</w:t>
            </w:r>
          </w:p>
        </w:tc>
        <w:tc>
          <w:tcPr>
            <w:tcW w:type="dxa" w:w="2160"/>
          </w:tcPr>
          <w:p>
            <w:pPr>
              <w:spacing w:after="0" w:before="0"/>
            </w:pPr>
            <w:r>
              <w:rPr>
                <w:sz w:val="18"/>
              </w:rPr>
              <w:t>:-:</w:t>
            </w:r>
          </w:p>
        </w:tc>
        <w:tc>
          <w:tcPr>
            <w:tcW w:type="dxa" w:w="2160"/>
          </w:tcPr>
          <w:p>
            <w:pPr>
              <w:spacing w:after="0" w:before="0"/>
            </w:pPr>
            <w:r>
              <w:rPr>
                <w:sz w:val="18"/>
              </w:rPr>
              <w:t>:-:</w:t>
            </w:r>
          </w:p>
        </w:tc>
      </w:tr>
      <w:tr>
        <w:tc>
          <w:tcPr>
            <w:tcW w:type="dxa" w:w="2160"/>
          </w:tcPr>
          <w:p>
            <w:pPr>
              <w:spacing w:after="0" w:before="0"/>
            </w:pPr>
            <w:r>
              <w:rPr>
                <w:sz w:val="18"/>
              </w:rPr>
              <w:t>known</w:t>
            </w:r>
          </w:p>
        </w:tc>
        <w:tc>
          <w:tcPr>
            <w:tcW w:type="dxa" w:w="2160"/>
          </w:tcPr>
          <w:p>
            <w:pPr>
              <w:spacing w:after="0" w:before="0"/>
            </w:pPr>
            <w:r>
              <w:rPr>
                <w:sz w:val="18"/>
              </w:rPr>
              <w:t>15.4%</w:t>
            </w:r>
          </w:p>
        </w:tc>
        <w:tc>
          <w:tcPr>
            <w:tcW w:type="dxa" w:w="2160"/>
          </w:tcPr>
          <w:p>
            <w:pPr>
              <w:spacing w:after="0" w:before="0"/>
            </w:pPr>
            <w:r>
              <w:rPr>
                <w:sz w:val="18"/>
              </w:rPr>
              <w:t>0.227</w:t>
            </w:r>
          </w:p>
        </w:tc>
        <w:tc>
          <w:tcPr>
            <w:tcW w:type="dxa" w:w="2160"/>
          </w:tcPr>
          <w:p>
            <w:pPr>
              <w:spacing w:after="0" w:before="0"/>
            </w:pPr>
            <w:r>
              <w:rPr>
                <w:sz w:val="18"/>
              </w:rPr>
              <w:t>0.349</w:t>
            </w:r>
          </w:p>
        </w:tc>
      </w:tr>
      <w:tr>
        <w:tc>
          <w:tcPr>
            <w:tcW w:type="dxa" w:w="2160"/>
          </w:tcPr>
          <w:p>
            <w:pPr>
              <w:spacing w:after="0" w:before="0"/>
            </w:pPr>
            <w:r>
              <w:rPr>
                <w:sz w:val="18"/>
              </w:rPr>
              <w:t>total</w:t>
            </w:r>
          </w:p>
        </w:tc>
        <w:tc>
          <w:tcPr>
            <w:tcW w:type="dxa" w:w="2160"/>
          </w:tcPr>
          <w:p>
            <w:pPr>
              <w:spacing w:after="0" w:before="0"/>
            </w:pPr>
            <w:r>
              <w:rPr>
                <w:sz w:val="18"/>
              </w:rPr>
              <w:t>7.1%</w:t>
            </w:r>
          </w:p>
        </w:tc>
        <w:tc>
          <w:tcPr>
            <w:tcW w:type="dxa" w:w="2160"/>
          </w:tcPr>
          <w:p>
            <w:pPr>
              <w:spacing w:after="0" w:before="0"/>
            </w:pPr>
            <w:r>
              <w:rPr>
                <w:sz w:val="18"/>
              </w:rPr>
              <w:t>0.287</w:t>
            </w:r>
          </w:p>
        </w:tc>
        <w:tc>
          <w:tcPr>
            <w:tcW w:type="dxa" w:w="2160"/>
          </w:tcPr>
          <w:p>
            <w:pPr>
              <w:spacing w:after="0" w:before="0"/>
            </w:pPr>
            <w:r>
              <w:rPr>
                <w:sz w:val="18"/>
              </w:rPr>
              <w:t>0.380</w:t>
            </w:r>
          </w:p>
        </w:tc>
      </w:tr>
      <w:tr>
        <w:tc>
          <w:tcPr>
            <w:tcW w:type="dxa" w:w="2160"/>
          </w:tcPr>
          <w:p>
            <w:pPr>
              <w:spacing w:after="0" w:before="0"/>
            </w:pPr>
            <w:r>
              <w:rPr>
                <w:sz w:val="18"/>
              </w:rPr>
              <w:t>others</w:t>
            </w:r>
          </w:p>
        </w:tc>
        <w:tc>
          <w:tcPr>
            <w:tcW w:type="dxa" w:w="2160"/>
          </w:tcPr>
          <w:p>
            <w:pPr>
              <w:spacing w:after="0" w:before="0"/>
            </w:pPr>
            <w:r>
              <w:rPr>
                <w:sz w:val="18"/>
              </w:rPr>
              <w:t>2.4%</w:t>
            </w:r>
          </w:p>
        </w:tc>
        <w:tc>
          <w:tcPr>
            <w:tcW w:type="dxa" w:w="2160"/>
          </w:tcPr>
          <w:p>
            <w:pPr>
              <w:spacing w:after="0" w:before="0"/>
            </w:pPr>
            <w:r>
              <w:rPr>
                <w:sz w:val="18"/>
              </w:rPr>
              <w:t>0.432</w:t>
            </w:r>
          </w:p>
        </w:tc>
        <w:tc>
          <w:tcPr>
            <w:tcW w:type="dxa" w:w="2160"/>
          </w:tcPr>
          <w:p>
            <w:pPr>
              <w:spacing w:after="0" w:before="0"/>
            </w:pPr>
            <w:r>
              <w:rPr>
                <w:sz w:val="18"/>
              </w:rPr>
              <w:t>0.450</w:t>
            </w:r>
          </w:p>
        </w:tc>
      </w:tr>
    </w:tbl>
    <w:p/>
    <w:p>
      <w:pPr/>
      <w:r>
        <w:t xml:space="preserve">The pattern is </w:t>
      </w:r>
      <w:r>
        <w:rPr>
          <w:b/>
        </w:rPr>
        <w:t>inverted</w:t>
      </w:r>
      <w:r>
        <w:t xml:space="preserve">: lower acceptance rate → higher Gini. This is the opposite of the selection bias prediction. The reason is </w:t>
      </w:r>
      <w:r>
        <w:rPr>
          <w:b/>
        </w:rPr>
        <w:t>population confounding</w:t>
      </w:r>
      <w:r>
        <w:t>: the "others" group (new segments: fintonic, open banking, consolidation) has fundamentally different risk characteristics, not just different acceptance rates.</w:t>
      </w:r>
    </w:p>
    <w:p>
      <w:pPr/>
      <w:r/>
      <w:r>
        <w:rPr>
          <w:b/>
        </w:rPr>
        <w:t>This analysis should not be used as evidence for or against selection bias</w:t>
      </w:r>
      <w:r>
        <w:t xml:space="preserve"> given 3 data points and heavy confounding.</w:t>
      </w:r>
    </w:p>
    <w:p>
      <w:pPr>
        <w:jc w:val="center"/>
      </w:pPr>
      <w:r>
        <w:drawing>
          <wp:inline xmlns:a="http://schemas.openxmlformats.org/drawingml/2006/main" xmlns:pic="http://schemas.openxmlformats.org/drawingml/2006/picture">
            <wp:extent cx="5486400" cy="3210812"/>
            <wp:docPr id="10" name="Picture 10"/>
            <wp:cNvGraphicFramePr>
              <a:graphicFrameLocks noChangeAspect="1"/>
            </wp:cNvGraphicFramePr>
            <a:graphic>
              <a:graphicData uri="http://schemas.openxmlformats.org/drawingml/2006/picture">
                <pic:pic>
                  <pic:nvPicPr>
                    <pic:cNvPr id="0" name="cross_segment_acceptance_vs_gini.png"/>
                    <pic:cNvPicPr/>
                  </pic:nvPicPr>
                  <pic:blipFill>
                    <a:blip r:embed="rId18"/>
                    <a:stretch>
                      <a:fillRect/>
                    </a:stretch>
                  </pic:blipFill>
                  <pic:spPr>
                    <a:xfrm>
                      <a:off x="0" y="0"/>
                      <a:ext cx="5486400" cy="3210812"/>
                    </a:xfrm>
                    <a:prstGeom prst="rect"/>
                  </pic:spPr>
                </pic:pic>
              </a:graphicData>
            </a:graphic>
          </wp:inline>
        </w:drawing>
      </w:r>
    </w:p>
    <w:p>
      <w:pPr>
        <w:pStyle w:val="Heading2"/>
      </w:pPr>
      <w:r>
        <w:t>7. Booked-vs-Rejected Discriminance (Selection Gini)</w:t>
      </w:r>
    </w:p>
    <w:p>
      <w:pPr/>
      <w:r>
        <w:t xml:space="preserve">This analysis uses </w:t>
      </w:r>
      <w:r>
        <w:rPr>
          <w:rFonts w:ascii="Consolas" w:hAnsi="Consolas"/>
          <w:color w:val="2C3E50"/>
          <w:sz w:val="18"/>
        </w:rPr>
        <w:t>status_name</w:t>
      </w:r>
      <w:r>
        <w:t xml:space="preserve"> (booked=1, rejected=0) as the target on the </w:t>
      </w:r>
      <w:r>
        <w:rPr>
          <w:b/>
        </w:rPr>
        <w:t>full demand</w:t>
      </w:r>
      <w:r>
        <w:t xml:space="preserve"> population. It measures how well each score predicts who gets accepted — without requiring </w:t>
      </w:r>
      <w:r>
        <w:rPr>
          <w:rFonts w:ascii="Consolas" w:hAnsi="Consolas"/>
          <w:color w:val="2C3E50"/>
          <w:sz w:val="18"/>
        </w:rPr>
        <w:t>early_bad</w:t>
      </w:r>
      <w:r>
        <w:t>. If a score has high selection Gini but low outcome Gini, that is the classic selection-bias signature.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after="0" w:before="0"/>
            </w:pPr>
            <w:r>
              <w:rPr>
                <w:b/>
                <w:sz w:val="18"/>
              </w:rPr>
              <w:t>Group</w:t>
            </w:r>
          </w:p>
        </w:tc>
        <w:tc>
          <w:tcPr>
            <w:tcW w:type="dxa" w:w="1728"/>
          </w:tcPr>
          <w:p>
            <w:pPr>
              <w:spacing w:after="0" w:before="0"/>
            </w:pPr>
            <w:r>
              <w:rPr>
                <w:b/>
                <w:sz w:val="18"/>
              </w:rPr>
              <w:t>Score</w:t>
            </w:r>
          </w:p>
        </w:tc>
        <w:tc>
          <w:tcPr>
            <w:tcW w:type="dxa" w:w="1728"/>
          </w:tcPr>
          <w:p>
            <w:pPr>
              <w:spacing w:after="0" w:before="0"/>
            </w:pPr>
            <w:r>
              <w:rPr>
                <w:b/>
                <w:sz w:val="18"/>
              </w:rPr>
              <w:t>Selection Gini</w:t>
            </w:r>
          </w:p>
        </w:tc>
        <w:tc>
          <w:tcPr>
            <w:tcW w:type="dxa" w:w="1728"/>
          </w:tcPr>
          <w:p>
            <w:pPr>
              <w:spacing w:after="0" w:before="0"/>
            </w:pPr>
            <w:r>
              <w:rPr>
                <w:b/>
                <w:sz w:val="18"/>
              </w:rPr>
              <w:t>Outcome Gini</w:t>
            </w:r>
          </w:p>
        </w:tc>
        <w:tc>
          <w:tcPr>
            <w:tcW w:type="dxa" w:w="1728"/>
          </w:tcPr>
          <w:p>
            <w:pPr>
              <w:spacing w:after="0" w:before="0"/>
            </w:pPr>
            <w:r>
              <w:rPr>
                <w:b/>
                <w:sz w:val="18"/>
              </w:rPr>
              <w:t>Gap</w:t>
            </w:r>
          </w:p>
        </w:tc>
      </w:tr>
      <w:tr>
        <w:tc>
          <w:tcPr>
            <w:tcW w:type="dxa" w:w="1728"/>
          </w:tcPr>
          <w:p>
            <w:pPr>
              <w:spacing w:after="0" w:before="0"/>
            </w:pPr>
            <w:r>
              <w:rPr>
                <w:sz w:val="18"/>
              </w:rPr>
              <w:t>-------</w:t>
            </w:r>
          </w:p>
        </w:tc>
        <w:tc>
          <w:tcPr>
            <w:tcW w:type="dxa" w:w="1728"/>
          </w:tcPr>
          <w:p>
            <w:pPr>
              <w:spacing w:after="0" w:before="0"/>
            </w:pPr>
            <w:r>
              <w:rPr>
                <w:sz w:val="18"/>
              </w:rPr>
              <w:t>-------</w:t>
            </w:r>
          </w:p>
        </w:tc>
        <w:tc>
          <w:tcPr>
            <w:tcW w:type="dxa" w:w="1728"/>
          </w:tcPr>
          <w:p>
            <w:pPr>
              <w:spacing w:after="0" w:before="0"/>
            </w:pPr>
            <w:r>
              <w:rPr>
                <w:sz w:val="18"/>
              </w:rPr>
              <w:t>:-:</w:t>
            </w:r>
          </w:p>
        </w:tc>
        <w:tc>
          <w:tcPr>
            <w:tcW w:type="dxa" w:w="1728"/>
          </w:tcPr>
          <w:p>
            <w:pPr>
              <w:spacing w:after="0" w:before="0"/>
            </w:pPr>
            <w:r>
              <w:rPr>
                <w:sz w:val="18"/>
              </w:rPr>
              <w:t>:-:</w:t>
            </w:r>
          </w:p>
        </w:tc>
        <w:tc>
          <w:tcPr>
            <w:tcW w:type="dxa" w:w="1728"/>
          </w:tcPr>
          <w:p>
            <w:pPr>
              <w:spacing w:after="0" w:before="0"/>
            </w:pPr>
            <w:r>
              <w:rPr>
                <w:sz w:val="18"/>
              </w:rPr>
              <w:t>:-:</w:t>
            </w:r>
          </w:p>
        </w:tc>
      </w:tr>
      <w:tr>
        <w:tc>
          <w:tcPr>
            <w:tcW w:type="dxa" w:w="1728"/>
          </w:tcPr>
          <w:p>
            <w:pPr>
              <w:spacing w:after="0" w:before="0"/>
            </w:pPr>
            <w:r>
              <w:rPr>
                <w:sz w:val="18"/>
              </w:rPr>
              <w:t>known</w:t>
            </w:r>
          </w:p>
        </w:tc>
        <w:tc>
          <w:tcPr>
            <w:tcW w:type="dxa" w:w="1728"/>
          </w:tcPr>
          <w:p>
            <w:pPr>
              <w:spacing w:after="0" w:before="0"/>
            </w:pPr>
            <w:r>
              <w:rPr>
                <w:sz w:val="18"/>
              </w:rPr>
              <w:t>Score RF</w:t>
            </w:r>
          </w:p>
        </w:tc>
        <w:tc>
          <w:tcPr>
            <w:tcW w:type="dxa" w:w="1728"/>
          </w:tcPr>
          <w:p>
            <w:pPr>
              <w:spacing w:after="0" w:before="0"/>
            </w:pPr>
            <w:r>
              <w:rPr>
                <w:sz w:val="18"/>
              </w:rPr>
              <w:t>0.290</w:t>
            </w:r>
          </w:p>
        </w:tc>
        <w:tc>
          <w:tcPr>
            <w:tcW w:type="dxa" w:w="1728"/>
          </w:tcPr>
          <w:p>
            <w:pPr>
              <w:spacing w:after="0" w:before="0"/>
            </w:pPr>
            <w:r>
              <w:rPr>
                <w:sz w:val="18"/>
              </w:rPr>
              <w:t>0.227</w:t>
            </w:r>
          </w:p>
        </w:tc>
        <w:tc>
          <w:tcPr>
            <w:tcW w:type="dxa" w:w="1728"/>
          </w:tcPr>
          <w:p>
            <w:pPr>
              <w:spacing w:after="0" w:before="0"/>
            </w:pPr>
            <w:r>
              <w:rPr>
                <w:sz w:val="18"/>
              </w:rPr>
              <w:t>+0.063</w:t>
            </w:r>
          </w:p>
        </w:tc>
      </w:tr>
      <w:tr>
        <w:tc>
          <w:tcPr>
            <w:tcW w:type="dxa" w:w="1728"/>
          </w:tcPr>
          <w:p>
            <w:pPr>
              <w:spacing w:after="0" w:before="0"/>
            </w:pPr>
            <w:r>
              <w:rPr>
                <w:sz w:val="18"/>
              </w:rPr>
              <w:t>known</w:t>
            </w:r>
          </w:p>
        </w:tc>
        <w:tc>
          <w:tcPr>
            <w:tcW w:type="dxa" w:w="1728"/>
          </w:tcPr>
          <w:p>
            <w:pPr>
              <w:spacing w:after="0" w:before="0"/>
            </w:pPr>
            <w:r>
              <w:rPr>
                <w:sz w:val="18"/>
              </w:rPr>
              <w:t>Risk Score RF</w:t>
            </w:r>
          </w:p>
        </w:tc>
        <w:tc>
          <w:tcPr>
            <w:tcW w:type="dxa" w:w="1728"/>
          </w:tcPr>
          <w:p>
            <w:pPr>
              <w:spacing w:after="0" w:before="0"/>
            </w:pPr>
            <w:r>
              <w:rPr>
                <w:sz w:val="18"/>
              </w:rPr>
              <w:t>0.327</w:t>
            </w:r>
          </w:p>
        </w:tc>
        <w:tc>
          <w:tcPr>
            <w:tcW w:type="dxa" w:w="1728"/>
          </w:tcPr>
          <w:p>
            <w:pPr>
              <w:spacing w:after="0" w:before="0"/>
            </w:pPr>
            <w:r>
              <w:rPr>
                <w:sz w:val="18"/>
              </w:rPr>
              <w:t>0.349</w:t>
            </w:r>
          </w:p>
        </w:tc>
        <w:tc>
          <w:tcPr>
            <w:tcW w:type="dxa" w:w="1728"/>
          </w:tcPr>
          <w:p>
            <w:pPr>
              <w:spacing w:after="0" w:before="0"/>
            </w:pPr>
            <w:r>
              <w:rPr>
                <w:sz w:val="18"/>
              </w:rPr>
              <w:t>-0.022</w:t>
            </w:r>
          </w:p>
        </w:tc>
      </w:tr>
      <w:tr>
        <w:tc>
          <w:tcPr>
            <w:tcW w:type="dxa" w:w="1728"/>
          </w:tcPr>
          <w:p>
            <w:pPr>
              <w:spacing w:after="0" w:before="0"/>
            </w:pPr>
            <w:r>
              <w:rPr>
                <w:sz w:val="18"/>
              </w:rPr>
              <w:t>others</w:t>
            </w:r>
          </w:p>
        </w:tc>
        <w:tc>
          <w:tcPr>
            <w:tcW w:type="dxa" w:w="1728"/>
          </w:tcPr>
          <w:p>
            <w:pPr>
              <w:spacing w:after="0" w:before="0"/>
            </w:pPr>
            <w:r>
              <w:rPr>
                <w:sz w:val="18"/>
              </w:rPr>
              <w:t>Score RF</w:t>
            </w:r>
          </w:p>
        </w:tc>
        <w:tc>
          <w:tcPr>
            <w:tcW w:type="dxa" w:w="1728"/>
          </w:tcPr>
          <w:p>
            <w:pPr>
              <w:spacing w:after="0" w:before="0"/>
            </w:pPr>
            <w:r>
              <w:rPr>
                <w:sz w:val="18"/>
              </w:rPr>
              <w:t>0.674</w:t>
            </w:r>
          </w:p>
        </w:tc>
        <w:tc>
          <w:tcPr>
            <w:tcW w:type="dxa" w:w="1728"/>
          </w:tcPr>
          <w:p>
            <w:pPr>
              <w:spacing w:after="0" w:before="0"/>
            </w:pPr>
            <w:r>
              <w:rPr>
                <w:sz w:val="18"/>
              </w:rPr>
              <w:t>0.432</w:t>
            </w:r>
          </w:p>
        </w:tc>
        <w:tc>
          <w:tcPr>
            <w:tcW w:type="dxa" w:w="1728"/>
          </w:tcPr>
          <w:p>
            <w:pPr>
              <w:spacing w:after="0" w:before="0"/>
            </w:pPr>
            <w:r>
              <w:rPr>
                <w:sz w:val="18"/>
              </w:rPr>
              <w:t>+0.242</w:t>
            </w:r>
          </w:p>
        </w:tc>
      </w:tr>
      <w:tr>
        <w:tc>
          <w:tcPr>
            <w:tcW w:type="dxa" w:w="1728"/>
          </w:tcPr>
          <w:p>
            <w:pPr>
              <w:spacing w:after="0" w:before="0"/>
            </w:pPr>
            <w:r>
              <w:rPr>
                <w:sz w:val="18"/>
              </w:rPr>
              <w:t>others</w:t>
            </w:r>
          </w:p>
        </w:tc>
        <w:tc>
          <w:tcPr>
            <w:tcW w:type="dxa" w:w="1728"/>
          </w:tcPr>
          <w:p>
            <w:pPr>
              <w:spacing w:after="0" w:before="0"/>
            </w:pPr>
            <w:r>
              <w:rPr>
                <w:sz w:val="18"/>
              </w:rPr>
              <w:t>Risk Score RF</w:t>
            </w:r>
          </w:p>
        </w:tc>
        <w:tc>
          <w:tcPr>
            <w:tcW w:type="dxa" w:w="1728"/>
          </w:tcPr>
          <w:p>
            <w:pPr>
              <w:spacing w:after="0" w:before="0"/>
            </w:pPr>
            <w:r>
              <w:rPr>
                <w:sz w:val="18"/>
              </w:rPr>
              <w:t>0.488</w:t>
            </w:r>
          </w:p>
        </w:tc>
        <w:tc>
          <w:tcPr>
            <w:tcW w:type="dxa" w:w="1728"/>
          </w:tcPr>
          <w:p>
            <w:pPr>
              <w:spacing w:after="0" w:before="0"/>
            </w:pPr>
            <w:r>
              <w:rPr>
                <w:sz w:val="18"/>
              </w:rPr>
              <w:t>0.450</w:t>
            </w:r>
          </w:p>
        </w:tc>
        <w:tc>
          <w:tcPr>
            <w:tcW w:type="dxa" w:w="1728"/>
          </w:tcPr>
          <w:p>
            <w:pPr>
              <w:spacing w:after="0" w:before="0"/>
            </w:pPr>
            <w:r>
              <w:rPr>
                <w:sz w:val="18"/>
              </w:rPr>
              <w:t>+0.038</w:t>
            </w:r>
          </w:p>
        </w:tc>
      </w:tr>
      <w:tr>
        <w:tc>
          <w:tcPr>
            <w:tcW w:type="dxa" w:w="1728"/>
          </w:tcPr>
          <w:p>
            <w:pPr>
              <w:spacing w:after="0" w:before="0"/>
            </w:pPr>
            <w:r>
              <w:rPr>
                <w:sz w:val="18"/>
              </w:rPr>
              <w:t>total</w:t>
            </w:r>
          </w:p>
        </w:tc>
        <w:tc>
          <w:tcPr>
            <w:tcW w:type="dxa" w:w="1728"/>
          </w:tcPr>
          <w:p>
            <w:pPr>
              <w:spacing w:after="0" w:before="0"/>
            </w:pPr>
            <w:r>
              <w:rPr>
                <w:sz w:val="18"/>
              </w:rPr>
              <w:t>Score RF</w:t>
            </w:r>
          </w:p>
        </w:tc>
        <w:tc>
          <w:tcPr>
            <w:tcW w:type="dxa" w:w="1728"/>
          </w:tcPr>
          <w:p>
            <w:pPr>
              <w:spacing w:after="0" w:before="0"/>
            </w:pPr>
            <w:r>
              <w:rPr>
                <w:sz w:val="18"/>
              </w:rPr>
              <w:t>0.563</w:t>
            </w:r>
          </w:p>
        </w:tc>
        <w:tc>
          <w:tcPr>
            <w:tcW w:type="dxa" w:w="1728"/>
          </w:tcPr>
          <w:p>
            <w:pPr>
              <w:spacing w:after="0" w:before="0"/>
            </w:pPr>
            <w:r>
              <w:rPr>
                <w:sz w:val="18"/>
              </w:rPr>
              <w:t>0.287</w:t>
            </w:r>
          </w:p>
        </w:tc>
        <w:tc>
          <w:tcPr>
            <w:tcW w:type="dxa" w:w="1728"/>
          </w:tcPr>
          <w:p>
            <w:pPr>
              <w:spacing w:after="0" w:before="0"/>
            </w:pPr>
            <w:r>
              <w:rPr>
                <w:sz w:val="18"/>
              </w:rPr>
              <w:t>+0.276</w:t>
            </w:r>
          </w:p>
        </w:tc>
      </w:tr>
      <w:tr>
        <w:tc>
          <w:tcPr>
            <w:tcW w:type="dxa" w:w="1728"/>
          </w:tcPr>
          <w:p>
            <w:pPr>
              <w:spacing w:after="0" w:before="0"/>
            </w:pPr>
            <w:r>
              <w:rPr>
                <w:sz w:val="18"/>
              </w:rPr>
              <w:t>total</w:t>
            </w:r>
          </w:p>
        </w:tc>
        <w:tc>
          <w:tcPr>
            <w:tcW w:type="dxa" w:w="1728"/>
          </w:tcPr>
          <w:p>
            <w:pPr>
              <w:spacing w:after="0" w:before="0"/>
            </w:pPr>
            <w:r>
              <w:rPr>
                <w:sz w:val="18"/>
              </w:rPr>
              <w:t>Risk Score RF</w:t>
            </w:r>
          </w:p>
        </w:tc>
        <w:tc>
          <w:tcPr>
            <w:tcW w:type="dxa" w:w="1728"/>
          </w:tcPr>
          <w:p>
            <w:pPr>
              <w:spacing w:after="0" w:before="0"/>
            </w:pPr>
            <w:r>
              <w:rPr>
                <w:sz w:val="18"/>
              </w:rPr>
              <w:t>0.456</w:t>
            </w:r>
          </w:p>
        </w:tc>
        <w:tc>
          <w:tcPr>
            <w:tcW w:type="dxa" w:w="1728"/>
          </w:tcPr>
          <w:p>
            <w:pPr>
              <w:spacing w:after="0" w:before="0"/>
            </w:pPr>
            <w:r>
              <w:rPr>
                <w:sz w:val="18"/>
              </w:rPr>
              <w:t>0.380</w:t>
            </w:r>
          </w:p>
        </w:tc>
        <w:tc>
          <w:tcPr>
            <w:tcW w:type="dxa" w:w="1728"/>
          </w:tcPr>
          <w:p>
            <w:pPr>
              <w:spacing w:after="0" w:before="0"/>
            </w:pPr>
            <w:r>
              <w:rPr>
                <w:sz w:val="18"/>
              </w:rPr>
              <w:t>+0.076</w:t>
            </w:r>
          </w:p>
        </w:tc>
      </w:tr>
    </w:tbl>
    <w:p/>
    <w:p>
      <w:pPr/>
      <w:r/>
      <w:r>
        <w:rPr>
          <w:b/>
        </w:rPr>
        <w:t>Interpretation:</w:t>
      </w:r>
      <w:r/>
    </w:p>
    <w:p>
      <w:pPr>
        <w:pStyle w:val="ListBullet"/>
      </w:pPr>
      <w:r/>
      <w:r>
        <w:rPr>
          <w:b/>
        </w:rPr>
        <w:t>Score RF</w:t>
      </w:r>
      <w:r>
        <w:t xml:space="preserve"> has much higher selection Gini than outcome Gini in "others" (+0.242) and "total" (+0.276). It is very good at predicting acceptance but much weaker at predicting default within the accepted population. This is a </w:t>
      </w:r>
      <w:r>
        <w:rPr>
          <w:b/>
        </w:rPr>
        <w:t>strong signal of selection bias</w:t>
      </w:r>
      <w:r>
        <w:t xml:space="preserve"> — the score's apparent power is consumed by the selection mechanism.</w:t>
      </w:r>
    </w:p>
    <w:p>
      <w:pPr>
        <w:pStyle w:val="ListBullet"/>
      </w:pPr>
      <w:r/>
      <w:r>
        <w:rPr>
          <w:b/>
        </w:rPr>
        <w:t>Risk Score RF</w:t>
      </w:r>
      <w:r>
        <w:t xml:space="preserve"> shows the opposite in "known": outcome Gini (0.349) actually exceeds selection Gini (0.327). This means Risk Score RF discriminates default risk even beyond what the selection policy captures — </w:t>
      </w:r>
      <w:r>
        <w:rPr>
          <w:b/>
        </w:rPr>
        <w:t>genuine predictive power, not an artifact of selection</w:t>
      </w:r>
      <w:r>
        <w:t>.</w:t>
      </w:r>
    </w:p>
    <w:p>
      <w:pPr>
        <w:pStyle w:val="ListBullet"/>
      </w:pPr>
      <w:r>
        <w:t>The extreme gap for Score RF in "others" (0.674 vs 0.432) confirms that Score RF drives acceptance decisions heavily in this group, leaving less residual discriminance for the outcome.</w:t>
      </w:r>
    </w:p>
    <w:p>
      <w:pPr>
        <w:jc w:val="center"/>
      </w:pPr>
      <w:r>
        <w:drawing>
          <wp:inline xmlns:a="http://schemas.openxmlformats.org/drawingml/2006/main" xmlns:pic="http://schemas.openxmlformats.org/drawingml/2006/picture">
            <wp:extent cx="5486400" cy="2120709"/>
            <wp:docPr id="11" name="Picture 11"/>
            <wp:cNvGraphicFramePr>
              <a:graphicFrameLocks noChangeAspect="1"/>
            </wp:cNvGraphicFramePr>
            <a:graphic>
              <a:graphicData uri="http://schemas.openxmlformats.org/drawingml/2006/picture">
                <pic:pic>
                  <pic:nvPicPr>
                    <pic:cNvPr id="0" name="booked_vs_rejected_discriminance.png"/>
                    <pic:cNvPicPr/>
                  </pic:nvPicPr>
                  <pic:blipFill>
                    <a:blip r:embed="rId19"/>
                    <a:stretch>
                      <a:fillRect/>
                    </a:stretch>
                  </pic:blipFill>
                  <pic:spPr>
                    <a:xfrm>
                      <a:off x="0" y="0"/>
                      <a:ext cx="5486400" cy="2120709"/>
                    </a:xfrm>
                    <a:prstGeom prst="rect"/>
                  </pic:spPr>
                </pic:pic>
              </a:graphicData>
            </a:graphic>
          </wp:inline>
        </w:drawing>
      </w:r>
    </w:p>
    <w:p>
      <w:pPr>
        <w:pStyle w:val="Heading2"/>
      </w:pPr>
      <w:r>
        <w:t>8. Score-Rejection-Only Truncation</w:t>
      </w:r>
    </w:p>
    <w:p>
      <w:pPr/>
      <w:r>
        <w:t xml:space="preserve">This recomputes the variance ratio filtering demand to only </w:t>
      </w:r>
      <w:r>
        <w:rPr>
          <w:rFonts w:ascii="Consolas" w:hAnsi="Consolas"/>
          <w:color w:val="2C3E50"/>
          <w:sz w:val="18"/>
        </w:rPr>
        <w:t>booked + reject_reason == "09-score"</w:t>
      </w:r>
      <w:r>
        <w:t>, excluding non-score rejections ("08-other"). This isolates the score-based selection channel.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after="0" w:before="0"/>
            </w:pPr>
            <w:r>
              <w:rPr>
                <w:b/>
                <w:sz w:val="18"/>
              </w:rPr>
              <w:t>Group</w:t>
            </w:r>
          </w:p>
        </w:tc>
        <w:tc>
          <w:tcPr>
            <w:tcW w:type="dxa" w:w="1728"/>
          </w:tcPr>
          <w:p>
            <w:pPr>
              <w:spacing w:after="0" w:before="0"/>
            </w:pPr>
            <w:r>
              <w:rPr>
                <w:b/>
                <w:sz w:val="18"/>
              </w:rPr>
              <w:t>Score</w:t>
            </w:r>
          </w:p>
        </w:tc>
        <w:tc>
          <w:tcPr>
            <w:tcW w:type="dxa" w:w="1728"/>
          </w:tcPr>
          <w:p>
            <w:pPr>
              <w:spacing w:after="0" w:before="0"/>
            </w:pPr>
            <w:r>
              <w:rPr>
                <w:b/>
                <w:sz w:val="18"/>
              </w:rPr>
              <w:t>u (all demand)</w:t>
            </w:r>
          </w:p>
        </w:tc>
        <w:tc>
          <w:tcPr>
            <w:tcW w:type="dxa" w:w="1728"/>
          </w:tcPr>
          <w:p>
            <w:pPr>
              <w:spacing w:after="0" w:before="0"/>
            </w:pPr>
            <w:r>
              <w:rPr>
                <w:b/>
                <w:sz w:val="18"/>
              </w:rPr>
              <w:t>u (score-reject only)</w:t>
            </w:r>
          </w:p>
        </w:tc>
        <w:tc>
          <w:tcPr>
            <w:tcW w:type="dxa" w:w="1728"/>
          </w:tcPr>
          <w:p>
            <w:pPr>
              <w:spacing w:after="0" w:before="0"/>
            </w:pPr>
            <w:r>
              <w:rPr>
                <w:b/>
                <w:sz w:val="18"/>
              </w:rPr>
              <w:t>Score-only Accept Rate</w:t>
            </w:r>
          </w:p>
        </w:tc>
      </w:tr>
      <w:tr>
        <w:tc>
          <w:tcPr>
            <w:tcW w:type="dxa" w:w="1728"/>
          </w:tcPr>
          <w:p>
            <w:pPr>
              <w:spacing w:after="0" w:before="0"/>
            </w:pPr>
            <w:r>
              <w:rPr>
                <w:sz w:val="18"/>
              </w:rPr>
              <w:t>-------</w:t>
            </w:r>
          </w:p>
        </w:tc>
        <w:tc>
          <w:tcPr>
            <w:tcW w:type="dxa" w:w="1728"/>
          </w:tcPr>
          <w:p>
            <w:pPr>
              <w:spacing w:after="0" w:before="0"/>
            </w:pPr>
            <w:r>
              <w:rPr>
                <w:sz w:val="18"/>
              </w:rPr>
              <w:t>-------</w:t>
            </w:r>
          </w:p>
        </w:tc>
        <w:tc>
          <w:tcPr>
            <w:tcW w:type="dxa" w:w="1728"/>
          </w:tcPr>
          <w:p>
            <w:pPr>
              <w:spacing w:after="0" w:before="0"/>
            </w:pPr>
            <w:r>
              <w:rPr>
                <w:sz w:val="18"/>
              </w:rPr>
              <w:t>:-:</w:t>
            </w:r>
          </w:p>
        </w:tc>
        <w:tc>
          <w:tcPr>
            <w:tcW w:type="dxa" w:w="1728"/>
          </w:tcPr>
          <w:p>
            <w:pPr>
              <w:spacing w:after="0" w:before="0"/>
            </w:pPr>
            <w:r>
              <w:rPr>
                <w:sz w:val="18"/>
              </w:rPr>
              <w:t>:-:</w:t>
            </w:r>
          </w:p>
        </w:tc>
        <w:tc>
          <w:tcPr>
            <w:tcW w:type="dxa" w:w="1728"/>
          </w:tcPr>
          <w:p>
            <w:pPr>
              <w:spacing w:after="0" w:before="0"/>
            </w:pPr>
            <w:r>
              <w:rPr>
                <w:sz w:val="18"/>
              </w:rPr>
              <w:t>:-:</w:t>
            </w:r>
          </w:p>
        </w:tc>
      </w:tr>
      <w:tr>
        <w:tc>
          <w:tcPr>
            <w:tcW w:type="dxa" w:w="1728"/>
          </w:tcPr>
          <w:p>
            <w:pPr>
              <w:spacing w:after="0" w:before="0"/>
            </w:pPr>
            <w:r>
              <w:rPr>
                <w:sz w:val="18"/>
              </w:rPr>
              <w:t>known</w:t>
            </w:r>
          </w:p>
        </w:tc>
        <w:tc>
          <w:tcPr>
            <w:tcW w:type="dxa" w:w="1728"/>
          </w:tcPr>
          <w:p>
            <w:pPr>
              <w:spacing w:after="0" w:before="0"/>
            </w:pPr>
            <w:r>
              <w:rPr>
                <w:sz w:val="18"/>
              </w:rPr>
              <w:t>Score RF</w:t>
            </w:r>
          </w:p>
        </w:tc>
        <w:tc>
          <w:tcPr>
            <w:tcW w:type="dxa" w:w="1728"/>
          </w:tcPr>
          <w:p>
            <w:pPr>
              <w:spacing w:after="0" w:before="0"/>
            </w:pPr>
            <w:r>
              <w:rPr>
                <w:sz w:val="18"/>
              </w:rPr>
              <w:t>0.921</w:t>
            </w:r>
          </w:p>
        </w:tc>
        <w:tc>
          <w:tcPr>
            <w:tcW w:type="dxa" w:w="1728"/>
          </w:tcPr>
          <w:p>
            <w:pPr>
              <w:spacing w:after="0" w:before="0"/>
            </w:pPr>
            <w:r>
              <w:rPr>
                <w:sz w:val="18"/>
              </w:rPr>
              <w:t>0.981</w:t>
            </w:r>
          </w:p>
        </w:tc>
        <w:tc>
          <w:tcPr>
            <w:tcW w:type="dxa" w:w="1728"/>
          </w:tcPr>
          <w:p>
            <w:pPr>
              <w:spacing w:after="0" w:before="0"/>
            </w:pPr>
            <w:r>
              <w:rPr>
                <w:sz w:val="18"/>
              </w:rPr>
              <w:t>41.9%</w:t>
            </w:r>
          </w:p>
        </w:tc>
      </w:tr>
      <w:tr>
        <w:tc>
          <w:tcPr>
            <w:tcW w:type="dxa" w:w="1728"/>
          </w:tcPr>
          <w:p>
            <w:pPr>
              <w:spacing w:after="0" w:before="0"/>
            </w:pPr>
            <w:r>
              <w:rPr>
                <w:sz w:val="18"/>
              </w:rPr>
              <w:t>known</w:t>
            </w:r>
          </w:p>
        </w:tc>
        <w:tc>
          <w:tcPr>
            <w:tcW w:type="dxa" w:w="1728"/>
          </w:tcPr>
          <w:p>
            <w:pPr>
              <w:spacing w:after="0" w:before="0"/>
            </w:pPr>
            <w:r>
              <w:rPr>
                <w:sz w:val="18"/>
              </w:rPr>
              <w:t>Risk Score RF</w:t>
            </w:r>
          </w:p>
        </w:tc>
        <w:tc>
          <w:tcPr>
            <w:tcW w:type="dxa" w:w="1728"/>
          </w:tcPr>
          <w:p>
            <w:pPr>
              <w:spacing w:after="0" w:before="0"/>
            </w:pPr>
            <w:r>
              <w:rPr>
                <w:sz w:val="18"/>
              </w:rPr>
              <w:t>0.845</w:t>
            </w:r>
          </w:p>
        </w:tc>
        <w:tc>
          <w:tcPr>
            <w:tcW w:type="dxa" w:w="1728"/>
          </w:tcPr>
          <w:p>
            <w:pPr>
              <w:spacing w:after="0" w:before="0"/>
            </w:pPr>
            <w:r>
              <w:rPr>
                <w:sz w:val="18"/>
              </w:rPr>
              <w:t>0.882</w:t>
            </w:r>
          </w:p>
        </w:tc>
        <w:tc>
          <w:tcPr>
            <w:tcW w:type="dxa" w:w="1728"/>
          </w:tcPr>
          <w:p>
            <w:pPr>
              <w:spacing w:after="0" w:before="0"/>
            </w:pPr>
            <w:r>
              <w:rPr>
                <w:sz w:val="18"/>
              </w:rPr>
              <w:t>41.9%</w:t>
            </w:r>
          </w:p>
        </w:tc>
      </w:tr>
      <w:tr>
        <w:tc>
          <w:tcPr>
            <w:tcW w:type="dxa" w:w="1728"/>
          </w:tcPr>
          <w:p>
            <w:pPr>
              <w:spacing w:after="0" w:before="0"/>
            </w:pPr>
            <w:r>
              <w:rPr>
                <w:sz w:val="18"/>
              </w:rPr>
              <w:t>others</w:t>
            </w:r>
          </w:p>
        </w:tc>
        <w:tc>
          <w:tcPr>
            <w:tcW w:type="dxa" w:w="1728"/>
          </w:tcPr>
          <w:p>
            <w:pPr>
              <w:spacing w:after="0" w:before="0"/>
            </w:pPr>
            <w:r>
              <w:rPr>
                <w:sz w:val="18"/>
              </w:rPr>
              <w:t>Score RF</w:t>
            </w:r>
          </w:p>
        </w:tc>
        <w:tc>
          <w:tcPr>
            <w:tcW w:type="dxa" w:w="1728"/>
          </w:tcPr>
          <w:p>
            <w:pPr>
              <w:spacing w:after="0" w:before="0"/>
            </w:pPr>
            <w:r>
              <w:rPr>
                <w:sz w:val="18"/>
              </w:rPr>
              <w:t>1.262</w:t>
            </w:r>
          </w:p>
        </w:tc>
        <w:tc>
          <w:tcPr>
            <w:tcW w:type="dxa" w:w="1728"/>
          </w:tcPr>
          <w:p>
            <w:pPr>
              <w:spacing w:after="0" w:before="0"/>
            </w:pPr>
            <w:r>
              <w:rPr>
                <w:sz w:val="18"/>
              </w:rPr>
              <w:t>1.501</w:t>
            </w:r>
          </w:p>
        </w:tc>
        <w:tc>
          <w:tcPr>
            <w:tcW w:type="dxa" w:w="1728"/>
          </w:tcPr>
          <w:p>
            <w:pPr>
              <w:spacing w:after="0" w:before="0"/>
            </w:pPr>
            <w:r>
              <w:rPr>
                <w:sz w:val="18"/>
              </w:rPr>
              <w:t>4.9%</w:t>
            </w:r>
          </w:p>
        </w:tc>
      </w:tr>
      <w:tr>
        <w:tc>
          <w:tcPr>
            <w:tcW w:type="dxa" w:w="1728"/>
          </w:tcPr>
          <w:p>
            <w:pPr>
              <w:spacing w:after="0" w:before="0"/>
            </w:pPr>
            <w:r>
              <w:rPr>
                <w:sz w:val="18"/>
              </w:rPr>
              <w:t>others</w:t>
            </w:r>
          </w:p>
        </w:tc>
        <w:tc>
          <w:tcPr>
            <w:tcW w:type="dxa" w:w="1728"/>
          </w:tcPr>
          <w:p>
            <w:pPr>
              <w:spacing w:after="0" w:before="0"/>
            </w:pPr>
            <w:r>
              <w:rPr>
                <w:sz w:val="18"/>
              </w:rPr>
              <w:t>Risk Score RF</w:t>
            </w:r>
          </w:p>
        </w:tc>
        <w:tc>
          <w:tcPr>
            <w:tcW w:type="dxa" w:w="1728"/>
          </w:tcPr>
          <w:p>
            <w:pPr>
              <w:spacing w:after="0" w:before="0"/>
            </w:pPr>
            <w:r>
              <w:rPr>
                <w:sz w:val="18"/>
              </w:rPr>
              <w:t>0.834</w:t>
            </w:r>
          </w:p>
        </w:tc>
        <w:tc>
          <w:tcPr>
            <w:tcW w:type="dxa" w:w="1728"/>
          </w:tcPr>
          <w:p>
            <w:pPr>
              <w:spacing w:after="0" w:before="0"/>
            </w:pPr>
            <w:r>
              <w:rPr>
                <w:sz w:val="18"/>
              </w:rPr>
              <w:t>0.906</w:t>
            </w:r>
          </w:p>
        </w:tc>
        <w:tc>
          <w:tcPr>
            <w:tcW w:type="dxa" w:w="1728"/>
          </w:tcPr>
          <w:p>
            <w:pPr>
              <w:spacing w:after="0" w:before="0"/>
            </w:pPr>
            <w:r>
              <w:rPr>
                <w:sz w:val="18"/>
              </w:rPr>
              <w:t>4.9%</w:t>
            </w:r>
          </w:p>
        </w:tc>
      </w:tr>
      <w:tr>
        <w:tc>
          <w:tcPr>
            <w:tcW w:type="dxa" w:w="1728"/>
          </w:tcPr>
          <w:p>
            <w:pPr>
              <w:spacing w:after="0" w:before="0"/>
            </w:pPr>
            <w:r>
              <w:rPr>
                <w:sz w:val="18"/>
              </w:rPr>
              <w:t>total</w:t>
            </w:r>
          </w:p>
        </w:tc>
        <w:tc>
          <w:tcPr>
            <w:tcW w:type="dxa" w:w="1728"/>
          </w:tcPr>
          <w:p>
            <w:pPr>
              <w:spacing w:after="0" w:before="0"/>
            </w:pPr>
            <w:r>
              <w:rPr>
                <w:sz w:val="18"/>
              </w:rPr>
              <w:t>Score RF</w:t>
            </w:r>
          </w:p>
        </w:tc>
        <w:tc>
          <w:tcPr>
            <w:tcW w:type="dxa" w:w="1728"/>
          </w:tcPr>
          <w:p>
            <w:pPr>
              <w:spacing w:after="0" w:before="0"/>
            </w:pPr>
            <w:r>
              <w:rPr>
                <w:sz w:val="18"/>
              </w:rPr>
              <w:t>0.988</w:t>
            </w:r>
          </w:p>
        </w:tc>
        <w:tc>
          <w:tcPr>
            <w:tcW w:type="dxa" w:w="1728"/>
          </w:tcPr>
          <w:p>
            <w:pPr>
              <w:spacing w:after="0" w:before="0"/>
            </w:pPr>
            <w:r>
              <w:rPr>
                <w:sz w:val="18"/>
              </w:rPr>
              <w:t>1.157</w:t>
            </w:r>
          </w:p>
        </w:tc>
        <w:tc>
          <w:tcPr>
            <w:tcW w:type="dxa" w:w="1728"/>
          </w:tcPr>
          <w:p>
            <w:pPr>
              <w:spacing w:after="0" w:before="0"/>
            </w:pPr>
            <w:r>
              <w:rPr>
                <w:sz w:val="18"/>
              </w:rPr>
              <w:t>15.9%</w:t>
            </w:r>
          </w:p>
        </w:tc>
      </w:tr>
      <w:tr>
        <w:tc>
          <w:tcPr>
            <w:tcW w:type="dxa" w:w="1728"/>
          </w:tcPr>
          <w:p>
            <w:pPr>
              <w:spacing w:after="0" w:before="0"/>
            </w:pPr>
            <w:r>
              <w:rPr>
                <w:sz w:val="18"/>
              </w:rPr>
              <w:t>total</w:t>
            </w:r>
          </w:p>
        </w:tc>
        <w:tc>
          <w:tcPr>
            <w:tcW w:type="dxa" w:w="1728"/>
          </w:tcPr>
          <w:p>
            <w:pPr>
              <w:spacing w:after="0" w:before="0"/>
            </w:pPr>
            <w:r>
              <w:rPr>
                <w:sz w:val="18"/>
              </w:rPr>
              <w:t>Risk Score RF</w:t>
            </w:r>
          </w:p>
        </w:tc>
        <w:tc>
          <w:tcPr>
            <w:tcW w:type="dxa" w:w="1728"/>
          </w:tcPr>
          <w:p>
            <w:pPr>
              <w:spacing w:after="0" w:before="0"/>
            </w:pPr>
            <w:r>
              <w:rPr>
                <w:sz w:val="18"/>
              </w:rPr>
              <w:t>0.792</w:t>
            </w:r>
          </w:p>
        </w:tc>
        <w:tc>
          <w:tcPr>
            <w:tcW w:type="dxa" w:w="1728"/>
          </w:tcPr>
          <w:p>
            <w:pPr>
              <w:spacing w:after="0" w:before="0"/>
            </w:pPr>
            <w:r>
              <w:rPr>
                <w:sz w:val="18"/>
              </w:rPr>
              <w:t>0.862</w:t>
            </w:r>
          </w:p>
        </w:tc>
        <w:tc>
          <w:tcPr>
            <w:tcW w:type="dxa" w:w="1728"/>
          </w:tcPr>
          <w:p>
            <w:pPr>
              <w:spacing w:after="0" w:before="0"/>
            </w:pPr>
            <w:r>
              <w:rPr>
                <w:sz w:val="18"/>
              </w:rPr>
              <w:t>15.9%</w:t>
            </w:r>
          </w:p>
        </w:tc>
      </w:tr>
    </w:tbl>
    <w:p/>
    <w:p>
      <w:pPr/>
      <w:r/>
      <w:r>
        <w:rPr>
          <w:b/>
        </w:rPr>
        <w:t>Interpretation:</w:t>
      </w:r>
      <w:r/>
    </w:p>
    <w:p>
      <w:pPr>
        <w:pStyle w:val="ListBullet"/>
      </w:pPr>
      <w:r>
        <w:t xml:space="preserve">When isolating to score-based rejections only, the </w:t>
      </w:r>
      <w:r>
        <w:rPr>
          <w:b/>
        </w:rPr>
        <w:t>acceptance rate jumps dramatically</w:t>
      </w:r>
      <w:r>
        <w:t>: from 15.4% to 41.9% for "known", from 2.4% to 4.9% for "others", from 7.1% to 15.9% for total. This confirms that the vast majority of rejections are non-score-based.</w:t>
      </w:r>
    </w:p>
    <w:p>
      <w:pPr>
        <w:pStyle w:val="ListBullet"/>
      </w:pPr>
      <w:r>
        <w:t xml:space="preserve">The </w:t>
      </w:r>
      <w:r>
        <w:rPr>
          <w:b/>
        </w:rPr>
        <w:t>u_ratio moves closer to 1.0</w:t>
      </w:r>
      <w:r>
        <w:t xml:space="preserve"> in all cases (less truncation). For "known" Score RF: 0.921 → 0.981 (nearly no truncation). For Risk Score RF: 0.845 → 0.882 (still some truncation, but less severe).</w:t>
      </w:r>
    </w:p>
    <w:p>
      <w:pPr>
        <w:pStyle w:val="ListBullet"/>
      </w:pPr>
      <w:r/>
      <w:r>
        <w:rPr>
          <w:b/>
        </w:rPr>
        <w:t>Score RF in "others"</w:t>
      </w:r>
      <w:r>
        <w:t xml:space="preserve"> becomes even more anomalous (u = 1.50), confirming that score-based selection is not truncating Score RF in this group.</w:t>
      </w:r>
    </w:p>
    <w:p>
      <w:pPr/>
      <w:r>
        <w:t xml:space="preserve">This means the </w:t>
      </w:r>
      <w:r>
        <w:rPr>
          <w:b/>
        </w:rPr>
        <w:t>effective score-based selection is much milder than raw acceptance rates suggest</w:t>
      </w:r>
      <w:r>
        <w:t>. The Thorndike correction based on raw u_ratios may actually overestimate the selection bias effect.</w:t>
      </w:r>
    </w:p>
    <w:p>
      <w:pPr>
        <w:jc w:val="center"/>
      </w:pPr>
      <w:r>
        <w:drawing>
          <wp:inline xmlns:a="http://schemas.openxmlformats.org/drawingml/2006/main" xmlns:pic="http://schemas.openxmlformats.org/drawingml/2006/picture">
            <wp:extent cx="5486400" cy="2118214"/>
            <wp:docPr id="12" name="Picture 12"/>
            <wp:cNvGraphicFramePr>
              <a:graphicFrameLocks noChangeAspect="1"/>
            </wp:cNvGraphicFramePr>
            <a:graphic>
              <a:graphicData uri="http://schemas.openxmlformats.org/drawingml/2006/picture">
                <pic:pic>
                  <pic:nvPicPr>
                    <pic:cNvPr id="0" name="truncation_comparison.png"/>
                    <pic:cNvPicPr/>
                  </pic:nvPicPr>
                  <pic:blipFill>
                    <a:blip r:embed="rId20"/>
                    <a:stretch>
                      <a:fillRect/>
                    </a:stretch>
                  </pic:blipFill>
                  <pic:spPr>
                    <a:xfrm>
                      <a:off x="0" y="0"/>
                      <a:ext cx="5486400" cy="2118214"/>
                    </a:xfrm>
                    <a:prstGeom prst="rect"/>
                  </pic:spPr>
                </pic:pic>
              </a:graphicData>
            </a:graphic>
          </wp:inline>
        </w:drawing>
      </w:r>
    </w:p>
    <w:p>
      <w:pPr>
        <w:pStyle w:val="Heading2"/>
      </w:pPr>
      <w:r>
        <w:t>9. Bad Rate by Score Decile (Within Booked)</w:t>
      </w:r>
    </w:p>
    <w:p>
      <w:pPr/>
      <w:r>
        <w:t xml:space="preserve">This shows the </w:t>
      </w:r>
      <w:r>
        <w:rPr>
          <w:rFonts w:ascii="Consolas" w:hAnsi="Consolas"/>
          <w:color w:val="2C3E50"/>
          <w:sz w:val="18"/>
        </w:rPr>
        <w:t>early_bad</w:t>
      </w:r>
      <w:r>
        <w:t xml:space="preserve"> rate by score decile within the booked population. A flat curve means the score has no rank-ordering power even on the observed range. A steep gradient means it discriminates effectively.</w:t>
      </w:r>
    </w:p>
    <w:p>
      <w:pPr/>
      <w:r/>
      <w:r>
        <w:rPr>
          <w:b/>
        </w:rPr>
        <w:t>"Known" — Score RF:</w:t>
      </w:r>
      <w:r/>
    </w:p>
    <w:tbl>
      <w:tblPr>
        <w:tblStyle w:val="LightGrid-Accent1"/>
        <w:tblW w:type="auto" w:w="0"/>
        <w:tblLook w:firstColumn="1" w:firstRow="1" w:lastColumn="0" w:lastRow="0" w:noHBand="0" w:noVBand="1" w:val="04A0"/>
      </w:tblPr>
      <w:tblGrid>
        <w:gridCol w:w="4320"/>
        <w:gridCol w:w="4320"/>
      </w:tblGrid>
      <w:tr>
        <w:tc>
          <w:tcPr>
            <w:tcW w:type="dxa" w:w="4320"/>
          </w:tcPr>
          <w:p>
            <w:pPr>
              <w:spacing w:after="0" w:before="0"/>
            </w:pPr>
            <w:r>
              <w:rPr>
                <w:b/>
                <w:sz w:val="18"/>
              </w:rPr>
              <w:t>Decile (1=safest)</w:t>
            </w:r>
          </w:p>
        </w:tc>
        <w:tc>
          <w:tcPr>
            <w:tcW w:type="dxa" w:w="4320"/>
          </w:tcPr>
          <w:p>
            <w:pPr>
              <w:spacing w:after="0" w:before="0"/>
            </w:pPr>
            <w:r>
              <w:rPr>
                <w:b/>
                <w:sz w:val="18"/>
              </w:rPr>
              <w:t>Bad Rate</w:t>
            </w:r>
          </w:p>
        </w:tc>
      </w:tr>
      <w:tr>
        <w:tc>
          <w:tcPr>
            <w:tcW w:type="dxa" w:w="4320"/>
          </w:tcPr>
          <w:p>
            <w:pPr>
              <w:spacing w:after="0" w:before="0"/>
            </w:pPr>
            <w:r>
              <w:rPr>
                <w:sz w:val="18"/>
              </w:rPr>
              <w:t>:-:</w:t>
            </w:r>
          </w:p>
        </w:tc>
        <w:tc>
          <w:tcPr>
            <w:tcW w:type="dxa" w:w="4320"/>
          </w:tcPr>
          <w:p>
            <w:pPr>
              <w:spacing w:after="0" w:before="0"/>
            </w:pPr>
            <w:r>
              <w:rPr>
                <w:sz w:val="18"/>
              </w:rPr>
              <w:t>:-:</w:t>
            </w:r>
          </w:p>
        </w:tc>
      </w:tr>
      <w:tr>
        <w:tc>
          <w:tcPr>
            <w:tcW w:type="dxa" w:w="4320"/>
          </w:tcPr>
          <w:p>
            <w:pPr>
              <w:spacing w:after="0" w:before="0"/>
            </w:pPr>
            <w:r>
              <w:rPr>
                <w:sz w:val="18"/>
              </w:rPr>
              <w:t>1</w:t>
            </w:r>
          </w:p>
        </w:tc>
        <w:tc>
          <w:tcPr>
            <w:tcW w:type="dxa" w:w="4320"/>
          </w:tcPr>
          <w:p>
            <w:pPr>
              <w:spacing w:after="0" w:before="0"/>
            </w:pPr>
            <w:r>
              <w:rPr>
                <w:sz w:val="18"/>
              </w:rPr>
              <w:t>0.75%</w:t>
            </w:r>
          </w:p>
        </w:tc>
      </w:tr>
      <w:tr>
        <w:tc>
          <w:tcPr>
            <w:tcW w:type="dxa" w:w="4320"/>
          </w:tcPr>
          <w:p>
            <w:pPr>
              <w:spacing w:after="0" w:before="0"/>
            </w:pPr>
            <w:r>
              <w:rPr>
                <w:sz w:val="18"/>
              </w:rPr>
              <w:t>5</w:t>
            </w:r>
          </w:p>
        </w:tc>
        <w:tc>
          <w:tcPr>
            <w:tcW w:type="dxa" w:w="4320"/>
          </w:tcPr>
          <w:p>
            <w:pPr>
              <w:spacing w:after="0" w:before="0"/>
            </w:pPr>
            <w:r>
              <w:rPr>
                <w:sz w:val="18"/>
              </w:rPr>
              <w:t>1.44%</w:t>
            </w:r>
          </w:p>
        </w:tc>
      </w:tr>
      <w:tr>
        <w:tc>
          <w:tcPr>
            <w:tcW w:type="dxa" w:w="4320"/>
          </w:tcPr>
          <w:p>
            <w:pPr>
              <w:spacing w:after="0" w:before="0"/>
            </w:pPr>
            <w:r>
              <w:rPr>
                <w:sz w:val="18"/>
              </w:rPr>
              <w:t>10</w:t>
            </w:r>
          </w:p>
        </w:tc>
        <w:tc>
          <w:tcPr>
            <w:tcW w:type="dxa" w:w="4320"/>
          </w:tcPr>
          <w:p>
            <w:pPr>
              <w:spacing w:after="0" w:before="0"/>
            </w:pPr>
            <w:r>
              <w:rPr>
                <w:sz w:val="18"/>
              </w:rPr>
              <w:t>3.08%</w:t>
            </w:r>
          </w:p>
        </w:tc>
      </w:tr>
    </w:tbl>
    <w:p/>
    <w:p>
      <w:pPr/>
      <w:r/>
      <w:r>
        <w:rPr>
          <w:b/>
        </w:rPr>
        <w:t>"Known" — Risk Score RF:</w:t>
      </w:r>
      <w:r/>
    </w:p>
    <w:tbl>
      <w:tblPr>
        <w:tblStyle w:val="LightGrid-Accent1"/>
        <w:tblW w:type="auto" w:w="0"/>
        <w:tblLook w:firstColumn="1" w:firstRow="1" w:lastColumn="0" w:lastRow="0" w:noHBand="0" w:noVBand="1" w:val="04A0"/>
      </w:tblPr>
      <w:tblGrid>
        <w:gridCol w:w="4320"/>
        <w:gridCol w:w="4320"/>
      </w:tblGrid>
      <w:tr>
        <w:tc>
          <w:tcPr>
            <w:tcW w:type="dxa" w:w="4320"/>
          </w:tcPr>
          <w:p>
            <w:pPr>
              <w:spacing w:after="0" w:before="0"/>
            </w:pPr>
            <w:r>
              <w:rPr>
                <w:b/>
                <w:sz w:val="18"/>
              </w:rPr>
              <w:t>Decile (1=safest)</w:t>
            </w:r>
          </w:p>
        </w:tc>
        <w:tc>
          <w:tcPr>
            <w:tcW w:type="dxa" w:w="4320"/>
          </w:tcPr>
          <w:p>
            <w:pPr>
              <w:spacing w:after="0" w:before="0"/>
            </w:pPr>
            <w:r>
              <w:rPr>
                <w:b/>
                <w:sz w:val="18"/>
              </w:rPr>
              <w:t>Bad Rate</w:t>
            </w:r>
          </w:p>
        </w:tc>
      </w:tr>
      <w:tr>
        <w:tc>
          <w:tcPr>
            <w:tcW w:type="dxa" w:w="4320"/>
          </w:tcPr>
          <w:p>
            <w:pPr>
              <w:spacing w:after="0" w:before="0"/>
            </w:pPr>
            <w:r>
              <w:rPr>
                <w:sz w:val="18"/>
              </w:rPr>
              <w:t>:-:</w:t>
            </w:r>
          </w:p>
        </w:tc>
        <w:tc>
          <w:tcPr>
            <w:tcW w:type="dxa" w:w="4320"/>
          </w:tcPr>
          <w:p>
            <w:pPr>
              <w:spacing w:after="0" w:before="0"/>
            </w:pPr>
            <w:r>
              <w:rPr>
                <w:sz w:val="18"/>
              </w:rPr>
              <w:t>:-:</w:t>
            </w:r>
          </w:p>
        </w:tc>
      </w:tr>
      <w:tr>
        <w:tc>
          <w:tcPr>
            <w:tcW w:type="dxa" w:w="4320"/>
          </w:tcPr>
          <w:p>
            <w:pPr>
              <w:spacing w:after="0" w:before="0"/>
            </w:pPr>
            <w:r>
              <w:rPr>
                <w:sz w:val="18"/>
              </w:rPr>
              <w:t>1</w:t>
            </w:r>
          </w:p>
        </w:tc>
        <w:tc>
          <w:tcPr>
            <w:tcW w:type="dxa" w:w="4320"/>
          </w:tcPr>
          <w:p>
            <w:pPr>
              <w:spacing w:after="0" w:before="0"/>
            </w:pPr>
            <w:r>
              <w:rPr>
                <w:sz w:val="18"/>
              </w:rPr>
              <w:t>0.74%</w:t>
            </w:r>
          </w:p>
        </w:tc>
      </w:tr>
      <w:tr>
        <w:tc>
          <w:tcPr>
            <w:tcW w:type="dxa" w:w="4320"/>
          </w:tcPr>
          <w:p>
            <w:pPr>
              <w:spacing w:after="0" w:before="0"/>
            </w:pPr>
            <w:r>
              <w:rPr>
                <w:sz w:val="18"/>
              </w:rPr>
              <w:t>5</w:t>
            </w:r>
          </w:p>
        </w:tc>
        <w:tc>
          <w:tcPr>
            <w:tcW w:type="dxa" w:w="4320"/>
          </w:tcPr>
          <w:p>
            <w:pPr>
              <w:spacing w:after="0" w:before="0"/>
            </w:pPr>
            <w:r>
              <w:rPr>
                <w:sz w:val="18"/>
              </w:rPr>
              <w:t>1.35%</w:t>
            </w:r>
          </w:p>
        </w:tc>
      </w:tr>
      <w:tr>
        <w:tc>
          <w:tcPr>
            <w:tcW w:type="dxa" w:w="4320"/>
          </w:tcPr>
          <w:p>
            <w:pPr>
              <w:spacing w:after="0" w:before="0"/>
            </w:pPr>
            <w:r>
              <w:rPr>
                <w:sz w:val="18"/>
              </w:rPr>
              <w:t>10</w:t>
            </w:r>
          </w:p>
        </w:tc>
        <w:tc>
          <w:tcPr>
            <w:tcW w:type="dxa" w:w="4320"/>
          </w:tcPr>
          <w:p>
            <w:pPr>
              <w:spacing w:after="0" w:before="0"/>
            </w:pPr>
            <w:r>
              <w:rPr>
                <w:sz w:val="18"/>
              </w:rPr>
              <w:t>6.00%</w:t>
            </w:r>
          </w:p>
        </w:tc>
      </w:tr>
    </w:tbl>
    <w:p/>
    <w:p>
      <w:pPr/>
      <w:r/>
      <w:r>
        <w:rPr>
          <w:b/>
        </w:rPr>
        <w:t>Interpretation:</w:t>
      </w:r>
      <w:r/>
    </w:p>
    <w:p>
      <w:pPr>
        <w:pStyle w:val="ListBullet"/>
      </w:pPr>
      <w:r/>
      <w:r>
        <w:rPr>
          <w:b/>
        </w:rPr>
        <w:t>Score RF</w:t>
      </w:r>
      <w:r>
        <w:t xml:space="preserve"> shows a ~4x gradient from decile 1 (0.75%) to decile 10 (3.08%). There IS some rank-ordering, but the gradient is modest — consistent with a Gini of 0.23.</w:t>
      </w:r>
    </w:p>
    <w:p>
      <w:pPr>
        <w:pStyle w:val="ListBullet"/>
      </w:pPr>
      <w:r/>
      <w:r>
        <w:rPr>
          <w:b/>
        </w:rPr>
        <w:t>Risk Score RF</w:t>
      </w:r>
      <w:r>
        <w:t xml:space="preserve"> shows a </w:t>
      </w:r>
      <w:r>
        <w:rPr>
          <w:b/>
        </w:rPr>
        <w:t>~8x gradient</w:t>
      </w:r>
      <w:r>
        <w:t xml:space="preserve"> from 0.74% to 6.00%. The last decile has a dramatically higher bad rate. This steep gradient explains its higher Gini (0.35) and confirms genuine discriminance.</w:t>
      </w:r>
    </w:p>
    <w:p>
      <w:pPr>
        <w:pStyle w:val="ListBullet"/>
      </w:pPr>
      <w:r>
        <w:t xml:space="preserve">In "others", </w:t>
      </w:r>
      <w:r>
        <w:rPr>
          <w:b/>
        </w:rPr>
        <w:t>Risk Score RF</w:t>
      </w:r>
      <w:r>
        <w:t xml:space="preserve"> reaches 8.45% in decile 10 vs 0.90% in decile 1 (~9.4x gradient), and </w:t>
      </w:r>
      <w:r>
        <w:rPr>
          <w:b/>
        </w:rPr>
        <w:t>Score RF</w:t>
      </w:r>
      <w:r>
        <w:t xml:space="preserve"> reaches 7.56% vs 0.61% (~12.4x). Both scores have strong gradients in "others".</w:t>
      </w:r>
    </w:p>
    <w:p>
      <w:pPr>
        <w:jc w:val="center"/>
      </w:pPr>
      <w:r>
        <w:drawing>
          <wp:inline xmlns:a="http://schemas.openxmlformats.org/drawingml/2006/main" xmlns:pic="http://schemas.openxmlformats.org/drawingml/2006/picture">
            <wp:extent cx="5486400" cy="3214599"/>
            <wp:docPr id="13" name="Picture 13"/>
            <wp:cNvGraphicFramePr>
              <a:graphicFrameLocks noChangeAspect="1"/>
            </wp:cNvGraphicFramePr>
            <a:graphic>
              <a:graphicData uri="http://schemas.openxmlformats.org/drawingml/2006/picture">
                <pic:pic>
                  <pic:nvPicPr>
                    <pic:cNvPr id="0" name="bad_rate_decile_known_main.png"/>
                    <pic:cNvPicPr/>
                  </pic:nvPicPr>
                  <pic:blipFill>
                    <a:blip r:embed="rId21"/>
                    <a:stretch>
                      <a:fillRect/>
                    </a:stretch>
                  </pic:blipFill>
                  <pic:spPr>
                    <a:xfrm>
                      <a:off x="0" y="0"/>
                      <a:ext cx="5486400" cy="3214599"/>
                    </a:xfrm>
                    <a:prstGeom prst="rect"/>
                  </pic:spPr>
                </pic:pic>
              </a:graphicData>
            </a:graphic>
          </wp:inline>
        </w:drawing>
      </w:r>
    </w:p>
    <w:p>
      <w:pPr>
        <w:jc w:val="center"/>
      </w:pPr>
      <w:r>
        <w:drawing>
          <wp:inline xmlns:a="http://schemas.openxmlformats.org/drawingml/2006/main" xmlns:pic="http://schemas.openxmlformats.org/drawingml/2006/picture">
            <wp:extent cx="5486400" cy="3214599"/>
            <wp:docPr id="14" name="Picture 14"/>
            <wp:cNvGraphicFramePr>
              <a:graphicFrameLocks noChangeAspect="1"/>
            </wp:cNvGraphicFramePr>
            <a:graphic>
              <a:graphicData uri="http://schemas.openxmlformats.org/drawingml/2006/picture">
                <pic:pic>
                  <pic:nvPicPr>
                    <pic:cNvPr id="0" name="bad_rate_decile_others_main.png"/>
                    <pic:cNvPicPr/>
                  </pic:nvPicPr>
                  <pic:blipFill>
                    <a:blip r:embed="rId22"/>
                    <a:stretch>
                      <a:fillRect/>
                    </a:stretch>
                  </pic:blipFill>
                  <pic:spPr>
                    <a:xfrm>
                      <a:off x="0" y="0"/>
                      <a:ext cx="5486400" cy="3214599"/>
                    </a:xfrm>
                    <a:prstGeom prst="rect"/>
                  </pic:spPr>
                </pic:pic>
              </a:graphicData>
            </a:graphic>
          </wp:inline>
        </w:drawing>
      </w:r>
    </w:p>
    <w:p>
      <w:pPr>
        <w:jc w:val="center"/>
      </w:pPr>
      <w:r>
        <w:drawing>
          <wp:inline xmlns:a="http://schemas.openxmlformats.org/drawingml/2006/main" xmlns:pic="http://schemas.openxmlformats.org/drawingml/2006/picture">
            <wp:extent cx="5486400" cy="3214599"/>
            <wp:docPr id="15" name="Picture 15"/>
            <wp:cNvGraphicFramePr>
              <a:graphicFrameLocks noChangeAspect="1"/>
            </wp:cNvGraphicFramePr>
            <a:graphic>
              <a:graphicData uri="http://schemas.openxmlformats.org/drawingml/2006/picture">
                <pic:pic>
                  <pic:nvPicPr>
                    <pic:cNvPr id="0" name="bad_rate_decile_total_main.png"/>
                    <pic:cNvPicPr/>
                  </pic:nvPicPr>
                  <pic:blipFill>
                    <a:blip r:embed="rId23"/>
                    <a:stretch>
                      <a:fillRect/>
                    </a:stretch>
                  </pic:blipFill>
                  <pic:spPr>
                    <a:xfrm>
                      <a:off x="0" y="0"/>
                      <a:ext cx="5486400" cy="3214599"/>
                    </a:xfrm>
                    <a:prstGeom prst="rect"/>
                  </pic:spPr>
                </pic:pic>
              </a:graphicData>
            </a:graphic>
          </wp:inline>
        </w:drawing>
      </w:r>
    </w:p>
    <w:p>
      <w:pPr>
        <w:pStyle w:val="Heading2"/>
      </w:pPr>
      <w:r>
        <w:t>10. Score-to-Score Correlation</w:t>
      </w:r>
    </w:p>
    <w:p>
      <w:pPr/>
      <w:r>
        <w:t xml:space="preserve">Pearson and Spearman correlation between </w:t>
      </w:r>
      <w:r>
        <w:rPr>
          <w:rFonts w:ascii="Consolas" w:hAnsi="Consolas"/>
          <w:color w:val="2C3E50"/>
          <w:sz w:val="18"/>
        </w:rPr>
        <w:t>score_rf</w:t>
      </w:r>
      <w:r>
        <w:t xml:space="preserve"> and </w:t>
      </w:r>
      <w:r>
        <w:rPr>
          <w:rFonts w:ascii="Consolas" w:hAnsi="Consolas"/>
          <w:color w:val="2C3E50"/>
          <w:sz w:val="18"/>
        </w:rPr>
        <w:t>risk_score_rf</w:t>
      </w:r>
      <w:r>
        <w:t xml:space="preserve"> on the full demand population: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0" w:before="0"/>
            </w:pPr>
            <w:r>
              <w:rPr>
                <w:b/>
                <w:sz w:val="18"/>
              </w:rPr>
              <w:t>Group</w:t>
            </w:r>
          </w:p>
        </w:tc>
        <w:tc>
          <w:tcPr>
            <w:tcW w:type="dxa" w:w="2160"/>
          </w:tcPr>
          <w:p>
            <w:pPr>
              <w:spacing w:after="0" w:before="0"/>
            </w:pPr>
            <w:r>
              <w:rPr>
                <w:b/>
                <w:sz w:val="18"/>
              </w:rPr>
              <w:t>Pearson r</w:t>
            </w:r>
          </w:p>
        </w:tc>
        <w:tc>
          <w:tcPr>
            <w:tcW w:type="dxa" w:w="2160"/>
          </w:tcPr>
          <w:p>
            <w:pPr>
              <w:spacing w:after="0" w:before="0"/>
            </w:pPr>
            <w:r>
              <w:rPr>
                <w:b/>
                <w:sz w:val="18"/>
              </w:rPr>
              <w:t>Spearman r</w:t>
            </w:r>
          </w:p>
        </w:tc>
        <w:tc>
          <w:tcPr>
            <w:tcW w:type="dxa" w:w="2160"/>
          </w:tcPr>
          <w:p>
            <w:pPr>
              <w:spacing w:after="0" w:before="0"/>
            </w:pPr>
            <w:r>
              <w:rPr>
                <w:b/>
                <w:sz w:val="18"/>
              </w:rPr>
              <w:t>n</w:t>
            </w:r>
          </w:p>
        </w:tc>
      </w:tr>
      <w:tr>
        <w:tc>
          <w:tcPr>
            <w:tcW w:type="dxa" w:w="2160"/>
          </w:tcPr>
          <w:p>
            <w:pPr>
              <w:spacing w:after="0" w:before="0"/>
            </w:pPr>
            <w:r>
              <w:rPr>
                <w:sz w:val="18"/>
              </w:rPr>
              <w:t>-------</w:t>
            </w:r>
          </w:p>
        </w:tc>
        <w:tc>
          <w:tcPr>
            <w:tcW w:type="dxa" w:w="2160"/>
          </w:tcPr>
          <w:p>
            <w:pPr>
              <w:spacing w:after="0" w:before="0"/>
            </w:pPr>
            <w:r>
              <w:rPr>
                <w:sz w:val="18"/>
              </w:rPr>
              <w:t>:-:</w:t>
            </w:r>
          </w:p>
        </w:tc>
        <w:tc>
          <w:tcPr>
            <w:tcW w:type="dxa" w:w="2160"/>
          </w:tcPr>
          <w:p>
            <w:pPr>
              <w:spacing w:after="0" w:before="0"/>
            </w:pPr>
            <w:r>
              <w:rPr>
                <w:sz w:val="18"/>
              </w:rPr>
              <w:t>:-:</w:t>
            </w:r>
          </w:p>
        </w:tc>
        <w:tc>
          <w:tcPr>
            <w:tcW w:type="dxa" w:w="2160"/>
          </w:tcPr>
          <w:p>
            <w:pPr>
              <w:spacing w:after="0" w:before="0"/>
            </w:pPr>
            <w:r>
              <w:rPr>
                <w:sz w:val="18"/>
              </w:rPr>
              <w:t>:-:</w:t>
            </w:r>
          </w:p>
        </w:tc>
      </w:tr>
      <w:tr>
        <w:tc>
          <w:tcPr>
            <w:tcW w:type="dxa" w:w="2160"/>
          </w:tcPr>
          <w:p>
            <w:pPr>
              <w:spacing w:after="0" w:before="0"/>
            </w:pPr>
            <w:r>
              <w:rPr>
                <w:sz w:val="18"/>
              </w:rPr>
              <w:t>known</w:t>
            </w:r>
          </w:p>
        </w:tc>
        <w:tc>
          <w:tcPr>
            <w:tcW w:type="dxa" w:w="2160"/>
          </w:tcPr>
          <w:p>
            <w:pPr>
              <w:spacing w:after="0" w:before="0"/>
            </w:pPr>
            <w:r>
              <w:rPr>
                <w:sz w:val="18"/>
              </w:rPr>
              <w:t>0.248</w:t>
            </w:r>
          </w:p>
        </w:tc>
        <w:tc>
          <w:tcPr>
            <w:tcW w:type="dxa" w:w="2160"/>
          </w:tcPr>
          <w:p>
            <w:pPr>
              <w:spacing w:after="0" w:before="0"/>
            </w:pPr>
            <w:r>
              <w:rPr>
                <w:sz w:val="18"/>
              </w:rPr>
              <w:t>0.249</w:t>
            </w:r>
          </w:p>
        </w:tc>
        <w:tc>
          <w:tcPr>
            <w:tcW w:type="dxa" w:w="2160"/>
          </w:tcPr>
          <w:p>
            <w:pPr>
              <w:spacing w:after="0" w:before="0"/>
            </w:pPr>
            <w:r>
              <w:rPr>
                <w:sz w:val="18"/>
              </w:rPr>
              <w:t>148,743</w:t>
            </w:r>
          </w:p>
        </w:tc>
      </w:tr>
      <w:tr>
        <w:tc>
          <w:tcPr>
            <w:tcW w:type="dxa" w:w="2160"/>
          </w:tcPr>
          <w:p>
            <w:pPr>
              <w:spacing w:after="0" w:before="0"/>
            </w:pPr>
            <w:r>
              <w:rPr>
                <w:sz w:val="18"/>
              </w:rPr>
              <w:t>others</w:t>
            </w:r>
          </w:p>
        </w:tc>
        <w:tc>
          <w:tcPr>
            <w:tcW w:type="dxa" w:w="2160"/>
          </w:tcPr>
          <w:p>
            <w:pPr>
              <w:spacing w:after="0" w:before="0"/>
            </w:pPr>
            <w:r>
              <w:rPr>
                <w:sz w:val="18"/>
              </w:rPr>
              <w:t>0.270</w:t>
            </w:r>
          </w:p>
        </w:tc>
        <w:tc>
          <w:tcPr>
            <w:tcW w:type="dxa" w:w="2160"/>
          </w:tcPr>
          <w:p>
            <w:pPr>
              <w:spacing w:after="0" w:before="0"/>
            </w:pPr>
            <w:r>
              <w:rPr>
                <w:sz w:val="18"/>
              </w:rPr>
              <w:t>0.256</w:t>
            </w:r>
          </w:p>
        </w:tc>
        <w:tc>
          <w:tcPr>
            <w:tcW w:type="dxa" w:w="2160"/>
          </w:tcPr>
          <w:p>
            <w:pPr>
              <w:spacing w:after="0" w:before="0"/>
            </w:pPr>
            <w:r>
              <w:rPr>
                <w:sz w:val="18"/>
              </w:rPr>
              <w:t>261,112</w:t>
            </w:r>
          </w:p>
        </w:tc>
      </w:tr>
      <w:tr>
        <w:tc>
          <w:tcPr>
            <w:tcW w:type="dxa" w:w="2160"/>
          </w:tcPr>
          <w:p>
            <w:pPr>
              <w:spacing w:after="0" w:before="0"/>
            </w:pPr>
            <w:r>
              <w:rPr>
                <w:sz w:val="18"/>
              </w:rPr>
              <w:t>total</w:t>
            </w:r>
          </w:p>
        </w:tc>
        <w:tc>
          <w:tcPr>
            <w:tcW w:type="dxa" w:w="2160"/>
          </w:tcPr>
          <w:p>
            <w:pPr>
              <w:spacing w:after="0" w:before="0"/>
            </w:pPr>
            <w:r>
              <w:rPr>
                <w:sz w:val="18"/>
              </w:rPr>
              <w:t>0.324</w:t>
            </w:r>
          </w:p>
        </w:tc>
        <w:tc>
          <w:tcPr>
            <w:tcW w:type="dxa" w:w="2160"/>
          </w:tcPr>
          <w:p>
            <w:pPr>
              <w:spacing w:after="0" w:before="0"/>
            </w:pPr>
            <w:r>
              <w:rPr>
                <w:sz w:val="18"/>
              </w:rPr>
              <w:t>0.328</w:t>
            </w:r>
          </w:p>
        </w:tc>
        <w:tc>
          <w:tcPr>
            <w:tcW w:type="dxa" w:w="2160"/>
          </w:tcPr>
          <w:p>
            <w:pPr>
              <w:spacing w:after="0" w:before="0"/>
            </w:pPr>
            <w:r>
              <w:rPr>
                <w:sz w:val="18"/>
              </w:rPr>
              <w:t>409,855</w:t>
            </w:r>
          </w:p>
        </w:tc>
      </w:tr>
    </w:tbl>
    <w:p/>
    <w:p>
      <w:pPr/>
      <w:r/>
      <w:r>
        <w:rPr>
          <w:b/>
        </w:rPr>
        <w:t>Interpretation:</w:t>
      </w:r>
      <w:r/>
    </w:p>
    <w:p>
      <w:pPr>
        <w:pStyle w:val="ListBullet"/>
      </w:pPr>
      <w:r>
        <w:t xml:space="preserve">The two scores are only </w:t>
      </w:r>
      <w:r>
        <w:rPr>
          <w:b/>
        </w:rPr>
        <w:t>weakly correlated</w:t>
      </w:r>
      <w:r>
        <w:t xml:space="preserve"> (r = 0.25-0.32). This means selection on one score does NOT automatically truncate the other. Each score's selection bias is largely independent.</w:t>
      </w:r>
    </w:p>
    <w:p>
      <w:pPr>
        <w:pStyle w:val="ListBullet"/>
      </w:pPr>
      <w:r>
        <w:t>This explains why Score RF can have u &gt; 1 in "others" while Risk Score RF has u &lt; 1: they capture different dimensions and the acceptance policy weights them differently.</w:t>
      </w:r>
    </w:p>
    <w:p>
      <w:pPr>
        <w:pStyle w:val="ListBullet"/>
      </w:pPr>
      <w:r>
        <w:t xml:space="preserve">The weak correlation also explains why the </w:t>
      </w:r>
      <w:r>
        <w:rPr>
          <w:b/>
        </w:rPr>
        <w:t>Combined</w:t>
      </w:r>
      <w:r>
        <w:t xml:space="preserve"> logistic score outperforms both: it captures complementary information.</w:t>
      </w:r>
    </w:p>
    <w:p>
      <w:pPr>
        <w:pStyle w:val="Heading2"/>
      </w:pPr>
      <w:r>
        <w:t>11. Reject Inference Gini (Full-Population Estimate)</w:t>
      </w:r>
    </w:p>
    <w:p>
      <w:pPr/>
      <w:r>
        <w:t>Impute outcomes for rejected applicants using per-decile bad rates from booked, uplifted by 1.5x, then compute Gini on the combined population (50 bootstrap replicates for CI):</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after="0" w:before="0"/>
            </w:pPr>
            <w:r>
              <w:rPr>
                <w:b/>
                <w:sz w:val="18"/>
              </w:rPr>
              <w:t>Group</w:t>
            </w:r>
          </w:p>
        </w:tc>
        <w:tc>
          <w:tcPr>
            <w:tcW w:type="dxa" w:w="1440"/>
          </w:tcPr>
          <w:p>
            <w:pPr>
              <w:spacing w:after="0" w:before="0"/>
            </w:pPr>
            <w:r>
              <w:rPr>
                <w:b/>
                <w:sz w:val="18"/>
              </w:rPr>
              <w:t>Score</w:t>
            </w:r>
          </w:p>
        </w:tc>
        <w:tc>
          <w:tcPr>
            <w:tcW w:type="dxa" w:w="1440"/>
          </w:tcPr>
          <w:p>
            <w:pPr>
              <w:spacing w:after="0" w:before="0"/>
            </w:pPr>
            <w:r>
              <w:rPr>
                <w:b/>
                <w:sz w:val="18"/>
              </w:rPr>
              <w:t>Observed Gini</w:t>
            </w:r>
          </w:p>
        </w:tc>
        <w:tc>
          <w:tcPr>
            <w:tcW w:type="dxa" w:w="1440"/>
          </w:tcPr>
          <w:p>
            <w:pPr>
              <w:spacing w:after="0" w:before="0"/>
            </w:pPr>
            <w:r>
              <w:rPr>
                <w:b/>
                <w:sz w:val="18"/>
              </w:rPr>
              <w:t>Thorndike Gini</w:t>
            </w:r>
          </w:p>
        </w:tc>
        <w:tc>
          <w:tcPr>
            <w:tcW w:type="dxa" w:w="1440"/>
          </w:tcPr>
          <w:p>
            <w:pPr>
              <w:spacing w:after="0" w:before="0"/>
            </w:pPr>
            <w:r>
              <w:rPr>
                <w:b/>
                <w:sz w:val="18"/>
              </w:rPr>
              <w:t>RI Gini (mean)</w:t>
            </w:r>
          </w:p>
        </w:tc>
        <w:tc>
          <w:tcPr>
            <w:tcW w:type="dxa" w:w="1440"/>
          </w:tcPr>
          <w:p>
            <w:pPr>
              <w:spacing w:after="0" w:before="0"/>
            </w:pPr>
            <w:r>
              <w:rPr>
                <w:b/>
                <w:sz w:val="18"/>
              </w:rPr>
              <w:t>RI 95% CI</w:t>
            </w:r>
          </w:p>
        </w:tc>
      </w:tr>
      <w:tr>
        <w:tc>
          <w:tcPr>
            <w:tcW w:type="dxa" w:w="1440"/>
          </w:tcPr>
          <w:p>
            <w:pPr>
              <w:spacing w:after="0" w:before="0"/>
            </w:pPr>
            <w:r>
              <w:rPr>
                <w:sz w:val="18"/>
              </w:rPr>
              <w:t>-------</w:t>
            </w:r>
          </w:p>
        </w:tc>
        <w:tc>
          <w:tcPr>
            <w:tcW w:type="dxa" w:w="1440"/>
          </w:tcPr>
          <w:p>
            <w:pPr>
              <w:spacing w:after="0" w:before="0"/>
            </w:pPr>
            <w:r>
              <w:rPr>
                <w:sz w:val="18"/>
              </w:rPr>
              <w:t>-------</w:t>
            </w:r>
          </w:p>
        </w:tc>
        <w:tc>
          <w:tcPr>
            <w:tcW w:type="dxa" w:w="1440"/>
          </w:tcPr>
          <w:p>
            <w:pPr>
              <w:spacing w:after="0" w:before="0"/>
            </w:pPr>
            <w:r>
              <w:rPr>
                <w:sz w:val="18"/>
              </w:rPr>
              <w:t>:-:</w:t>
            </w:r>
          </w:p>
        </w:tc>
        <w:tc>
          <w:tcPr>
            <w:tcW w:type="dxa" w:w="1440"/>
          </w:tcPr>
          <w:p>
            <w:pPr>
              <w:spacing w:after="0" w:before="0"/>
            </w:pPr>
            <w:r>
              <w:rPr>
                <w:sz w:val="18"/>
              </w:rPr>
              <w:t>:-:</w:t>
            </w:r>
          </w:p>
        </w:tc>
        <w:tc>
          <w:tcPr>
            <w:tcW w:type="dxa" w:w="1440"/>
          </w:tcPr>
          <w:p>
            <w:pPr>
              <w:spacing w:after="0" w:before="0"/>
            </w:pPr>
            <w:r>
              <w:rPr>
                <w:sz w:val="18"/>
              </w:rPr>
              <w:t>:-:</w:t>
            </w:r>
          </w:p>
        </w:tc>
        <w:tc>
          <w:tcPr>
            <w:tcW w:type="dxa" w:w="1440"/>
          </w:tcPr>
          <w:p>
            <w:pPr>
              <w:spacing w:after="0" w:before="0"/>
            </w:pPr>
            <w:r>
              <w:rPr>
                <w:sz w:val="18"/>
              </w:rPr>
              <w:t>:-:</w:t>
            </w:r>
          </w:p>
        </w:tc>
      </w:tr>
      <w:tr>
        <w:tc>
          <w:tcPr>
            <w:tcW w:type="dxa" w:w="1440"/>
          </w:tcPr>
          <w:p>
            <w:pPr>
              <w:spacing w:after="0" w:before="0"/>
            </w:pPr>
            <w:r>
              <w:rPr>
                <w:sz w:val="18"/>
              </w:rPr>
              <w:t>known</w:t>
            </w:r>
          </w:p>
        </w:tc>
        <w:tc>
          <w:tcPr>
            <w:tcW w:type="dxa" w:w="1440"/>
          </w:tcPr>
          <w:p>
            <w:pPr>
              <w:spacing w:after="0" w:before="0"/>
            </w:pPr>
            <w:r>
              <w:rPr>
                <w:sz w:val="18"/>
              </w:rPr>
              <w:t>Score RF</w:t>
            </w:r>
          </w:p>
        </w:tc>
        <w:tc>
          <w:tcPr>
            <w:tcW w:type="dxa" w:w="1440"/>
          </w:tcPr>
          <w:p>
            <w:pPr>
              <w:spacing w:after="0" w:before="0"/>
            </w:pPr>
            <w:r>
              <w:rPr>
                <w:sz w:val="18"/>
              </w:rPr>
              <w:t>0.227</w:t>
            </w:r>
          </w:p>
        </w:tc>
        <w:tc>
          <w:tcPr>
            <w:tcW w:type="dxa" w:w="1440"/>
          </w:tcPr>
          <w:p>
            <w:pPr>
              <w:spacing w:after="0" w:before="0"/>
            </w:pPr>
            <w:r>
              <w:rPr>
                <w:sz w:val="18"/>
              </w:rPr>
              <w:t>0.246</w:t>
            </w:r>
          </w:p>
        </w:tc>
        <w:tc>
          <w:tcPr>
            <w:tcW w:type="dxa" w:w="1440"/>
          </w:tcPr>
          <w:p>
            <w:pPr>
              <w:spacing w:after="0" w:before="0"/>
            </w:pPr>
            <w:r>
              <w:rPr>
                <w:sz w:val="18"/>
              </w:rPr>
              <w:t>0.281</w:t>
            </w:r>
          </w:p>
        </w:tc>
        <w:tc>
          <w:tcPr>
            <w:tcW w:type="dxa" w:w="1440"/>
          </w:tcPr>
          <w:p>
            <w:pPr>
              <w:spacing w:after="0" w:before="0"/>
            </w:pPr>
            <w:r>
              <w:rPr>
                <w:sz w:val="18"/>
              </w:rPr>
              <w:t>[0.269, 0.292]</w:t>
            </w:r>
          </w:p>
        </w:tc>
      </w:tr>
      <w:tr>
        <w:tc>
          <w:tcPr>
            <w:tcW w:type="dxa" w:w="1440"/>
          </w:tcPr>
          <w:p>
            <w:pPr>
              <w:spacing w:after="0" w:before="0"/>
            </w:pPr>
            <w:r>
              <w:rPr>
                <w:sz w:val="18"/>
              </w:rPr>
              <w:t>known</w:t>
            </w:r>
          </w:p>
        </w:tc>
        <w:tc>
          <w:tcPr>
            <w:tcW w:type="dxa" w:w="1440"/>
          </w:tcPr>
          <w:p>
            <w:pPr>
              <w:spacing w:after="0" w:before="0"/>
            </w:pPr>
            <w:r>
              <w:rPr>
                <w:sz w:val="18"/>
              </w:rPr>
              <w:t>Risk Score RF</w:t>
            </w:r>
          </w:p>
        </w:tc>
        <w:tc>
          <w:tcPr>
            <w:tcW w:type="dxa" w:w="1440"/>
          </w:tcPr>
          <w:p>
            <w:pPr>
              <w:spacing w:after="0" w:before="0"/>
            </w:pPr>
            <w:r>
              <w:rPr>
                <w:sz w:val="18"/>
              </w:rPr>
              <w:t>0.349</w:t>
            </w:r>
          </w:p>
        </w:tc>
        <w:tc>
          <w:tcPr>
            <w:tcW w:type="dxa" w:w="1440"/>
          </w:tcPr>
          <w:p>
            <w:pPr>
              <w:spacing w:after="0" w:before="0"/>
            </w:pPr>
            <w:r>
              <w:rPr>
                <w:sz w:val="18"/>
              </w:rPr>
              <w:t>0.407</w:t>
            </w:r>
          </w:p>
        </w:tc>
        <w:tc>
          <w:tcPr>
            <w:tcW w:type="dxa" w:w="1440"/>
          </w:tcPr>
          <w:p>
            <w:pPr>
              <w:spacing w:after="0" w:before="0"/>
            </w:pPr>
            <w:r>
              <w:rPr>
                <w:sz w:val="18"/>
              </w:rPr>
              <w:t>0.453</w:t>
            </w:r>
          </w:p>
        </w:tc>
        <w:tc>
          <w:tcPr>
            <w:tcW w:type="dxa" w:w="1440"/>
          </w:tcPr>
          <w:p>
            <w:pPr>
              <w:spacing w:after="0" w:before="0"/>
            </w:pPr>
            <w:r>
              <w:rPr>
                <w:sz w:val="18"/>
              </w:rPr>
              <w:t>[0.443, 0.463]</w:t>
            </w:r>
          </w:p>
        </w:tc>
      </w:tr>
      <w:tr>
        <w:tc>
          <w:tcPr>
            <w:tcW w:type="dxa" w:w="1440"/>
          </w:tcPr>
          <w:p>
            <w:pPr>
              <w:spacing w:after="0" w:before="0"/>
            </w:pPr>
            <w:r>
              <w:rPr>
                <w:sz w:val="18"/>
              </w:rPr>
              <w:t>others</w:t>
            </w:r>
          </w:p>
        </w:tc>
        <w:tc>
          <w:tcPr>
            <w:tcW w:type="dxa" w:w="1440"/>
          </w:tcPr>
          <w:p>
            <w:pPr>
              <w:spacing w:after="0" w:before="0"/>
            </w:pPr>
            <w:r>
              <w:rPr>
                <w:sz w:val="18"/>
              </w:rPr>
              <w:t>Score RF</w:t>
            </w:r>
          </w:p>
        </w:tc>
        <w:tc>
          <w:tcPr>
            <w:tcW w:type="dxa" w:w="1440"/>
          </w:tcPr>
          <w:p>
            <w:pPr>
              <w:spacing w:after="0" w:before="0"/>
            </w:pPr>
            <w:r>
              <w:rPr>
                <w:sz w:val="18"/>
              </w:rPr>
              <w:t>0.432</w:t>
            </w:r>
          </w:p>
        </w:tc>
        <w:tc>
          <w:tcPr>
            <w:tcW w:type="dxa" w:w="1440"/>
          </w:tcPr>
          <w:p>
            <w:pPr>
              <w:spacing w:after="0" w:before="0"/>
            </w:pPr>
            <w:r>
              <w:rPr>
                <w:sz w:val="18"/>
              </w:rPr>
              <w:t>0.432</w:t>
            </w:r>
          </w:p>
        </w:tc>
        <w:tc>
          <w:tcPr>
            <w:tcW w:type="dxa" w:w="1440"/>
          </w:tcPr>
          <w:p>
            <w:pPr>
              <w:spacing w:after="0" w:before="0"/>
            </w:pPr>
            <w:r>
              <w:rPr>
                <w:sz w:val="18"/>
              </w:rPr>
              <w:t>0.332</w:t>
            </w:r>
          </w:p>
        </w:tc>
        <w:tc>
          <w:tcPr>
            <w:tcW w:type="dxa" w:w="1440"/>
          </w:tcPr>
          <w:p>
            <w:pPr>
              <w:spacing w:after="0" w:before="0"/>
            </w:pPr>
            <w:r>
              <w:rPr>
                <w:sz w:val="18"/>
              </w:rPr>
              <w:t>[0.326, 0.340]</w:t>
            </w:r>
          </w:p>
        </w:tc>
      </w:tr>
      <w:tr>
        <w:tc>
          <w:tcPr>
            <w:tcW w:type="dxa" w:w="1440"/>
          </w:tcPr>
          <w:p>
            <w:pPr>
              <w:spacing w:after="0" w:before="0"/>
            </w:pPr>
            <w:r>
              <w:rPr>
                <w:sz w:val="18"/>
              </w:rPr>
              <w:t>others</w:t>
            </w:r>
          </w:p>
        </w:tc>
        <w:tc>
          <w:tcPr>
            <w:tcW w:type="dxa" w:w="1440"/>
          </w:tcPr>
          <w:p>
            <w:pPr>
              <w:spacing w:after="0" w:before="0"/>
            </w:pPr>
            <w:r>
              <w:rPr>
                <w:sz w:val="18"/>
              </w:rPr>
              <w:t>Risk Score RF</w:t>
            </w:r>
          </w:p>
        </w:tc>
        <w:tc>
          <w:tcPr>
            <w:tcW w:type="dxa" w:w="1440"/>
          </w:tcPr>
          <w:p>
            <w:pPr>
              <w:spacing w:after="0" w:before="0"/>
            </w:pPr>
            <w:r>
              <w:rPr>
                <w:sz w:val="18"/>
              </w:rPr>
              <w:t>0.450</w:t>
            </w:r>
          </w:p>
        </w:tc>
        <w:tc>
          <w:tcPr>
            <w:tcW w:type="dxa" w:w="1440"/>
          </w:tcPr>
          <w:p>
            <w:pPr>
              <w:spacing w:after="0" w:before="0"/>
            </w:pPr>
            <w:r>
              <w:rPr>
                <w:sz w:val="18"/>
              </w:rPr>
              <w:t>0.526</w:t>
            </w:r>
          </w:p>
        </w:tc>
        <w:tc>
          <w:tcPr>
            <w:tcW w:type="dxa" w:w="1440"/>
          </w:tcPr>
          <w:p>
            <w:pPr>
              <w:spacing w:after="0" w:before="0"/>
            </w:pPr>
            <w:r>
              <w:rPr>
                <w:sz w:val="18"/>
              </w:rPr>
              <w:t>0.718</w:t>
            </w:r>
          </w:p>
        </w:tc>
        <w:tc>
          <w:tcPr>
            <w:tcW w:type="dxa" w:w="1440"/>
          </w:tcPr>
          <w:p>
            <w:pPr>
              <w:spacing w:after="0" w:before="0"/>
            </w:pPr>
            <w:r>
              <w:rPr>
                <w:sz w:val="18"/>
              </w:rPr>
              <w:t>[0.714, 0.721]</w:t>
            </w:r>
          </w:p>
        </w:tc>
      </w:tr>
      <w:tr>
        <w:tc>
          <w:tcPr>
            <w:tcW w:type="dxa" w:w="1440"/>
          </w:tcPr>
          <w:p>
            <w:pPr>
              <w:spacing w:after="0" w:before="0"/>
            </w:pPr>
            <w:r>
              <w:rPr>
                <w:sz w:val="18"/>
              </w:rPr>
              <w:t>total</w:t>
            </w:r>
          </w:p>
        </w:tc>
        <w:tc>
          <w:tcPr>
            <w:tcW w:type="dxa" w:w="1440"/>
          </w:tcPr>
          <w:p>
            <w:pPr>
              <w:spacing w:after="0" w:before="0"/>
            </w:pPr>
            <w:r>
              <w:rPr>
                <w:sz w:val="18"/>
              </w:rPr>
              <w:t>Score RF</w:t>
            </w:r>
          </w:p>
        </w:tc>
        <w:tc>
          <w:tcPr>
            <w:tcW w:type="dxa" w:w="1440"/>
          </w:tcPr>
          <w:p>
            <w:pPr>
              <w:spacing w:after="0" w:before="0"/>
            </w:pPr>
            <w:r>
              <w:rPr>
                <w:sz w:val="18"/>
              </w:rPr>
              <w:t>0.287</w:t>
            </w:r>
          </w:p>
        </w:tc>
        <w:tc>
          <w:tcPr>
            <w:tcW w:type="dxa" w:w="1440"/>
          </w:tcPr>
          <w:p>
            <w:pPr>
              <w:spacing w:after="0" w:before="0"/>
            </w:pPr>
            <w:r>
              <w:rPr>
                <w:sz w:val="18"/>
              </w:rPr>
              <w:t>0.290</w:t>
            </w:r>
          </w:p>
        </w:tc>
        <w:tc>
          <w:tcPr>
            <w:tcW w:type="dxa" w:w="1440"/>
          </w:tcPr>
          <w:p>
            <w:pPr>
              <w:spacing w:after="0" w:before="0"/>
            </w:pPr>
            <w:r>
              <w:rPr>
                <w:sz w:val="18"/>
              </w:rPr>
              <w:t>0.412</w:t>
            </w:r>
          </w:p>
        </w:tc>
        <w:tc>
          <w:tcPr>
            <w:tcW w:type="dxa" w:w="1440"/>
          </w:tcPr>
          <w:p>
            <w:pPr>
              <w:spacing w:after="0" w:before="0"/>
            </w:pPr>
            <w:r>
              <w:rPr>
                <w:sz w:val="18"/>
              </w:rPr>
              <w:t>[0.404, 0.418]</w:t>
            </w:r>
          </w:p>
        </w:tc>
      </w:tr>
      <w:tr>
        <w:tc>
          <w:tcPr>
            <w:tcW w:type="dxa" w:w="1440"/>
          </w:tcPr>
          <w:p>
            <w:pPr>
              <w:spacing w:after="0" w:before="0"/>
            </w:pPr>
            <w:r>
              <w:rPr>
                <w:sz w:val="18"/>
              </w:rPr>
              <w:t>total</w:t>
            </w:r>
          </w:p>
        </w:tc>
        <w:tc>
          <w:tcPr>
            <w:tcW w:type="dxa" w:w="1440"/>
          </w:tcPr>
          <w:p>
            <w:pPr>
              <w:spacing w:after="0" w:before="0"/>
            </w:pPr>
            <w:r>
              <w:rPr>
                <w:sz w:val="18"/>
              </w:rPr>
              <w:t>Risk Score RF</w:t>
            </w:r>
          </w:p>
        </w:tc>
        <w:tc>
          <w:tcPr>
            <w:tcW w:type="dxa" w:w="1440"/>
          </w:tcPr>
          <w:p>
            <w:pPr>
              <w:spacing w:after="0" w:before="0"/>
            </w:pPr>
            <w:r>
              <w:rPr>
                <w:sz w:val="18"/>
              </w:rPr>
              <w:t>0.380</w:t>
            </w:r>
          </w:p>
        </w:tc>
        <w:tc>
          <w:tcPr>
            <w:tcW w:type="dxa" w:w="1440"/>
          </w:tcPr>
          <w:p>
            <w:pPr>
              <w:spacing w:after="0" w:before="0"/>
            </w:pPr>
            <w:r>
              <w:rPr>
                <w:sz w:val="18"/>
              </w:rPr>
              <w:t>0.469</w:t>
            </w:r>
          </w:p>
        </w:tc>
        <w:tc>
          <w:tcPr>
            <w:tcW w:type="dxa" w:w="1440"/>
          </w:tcPr>
          <w:p>
            <w:pPr>
              <w:spacing w:after="0" w:before="0"/>
            </w:pPr>
            <w:r>
              <w:rPr>
                <w:sz w:val="18"/>
              </w:rPr>
              <w:t>0.603</w:t>
            </w:r>
          </w:p>
        </w:tc>
        <w:tc>
          <w:tcPr>
            <w:tcW w:type="dxa" w:w="1440"/>
          </w:tcPr>
          <w:p>
            <w:pPr>
              <w:spacing w:after="0" w:before="0"/>
            </w:pPr>
            <w:r>
              <w:rPr>
                <w:sz w:val="18"/>
              </w:rPr>
              <w:t>[0.597, 0.607]</w:t>
            </w:r>
          </w:p>
        </w:tc>
      </w:tr>
    </w:tbl>
    <w:p/>
    <w:p>
      <w:pPr/>
      <w:r/>
      <w:r>
        <w:rPr>
          <w:b/>
        </w:rPr>
        <w:t>Interpretation:</w:t>
      </w:r>
      <w:r/>
    </w:p>
    <w:p>
      <w:pPr>
        <w:pStyle w:val="ListBullet"/>
      </w:pPr>
      <w:r/>
      <w:r>
        <w:rPr>
          <w:b/>
        </w:rPr>
        <w:t>Risk Score RF</w:t>
      </w:r>
      <w:r>
        <w:t xml:space="preserve"> RI Gini is substantially higher than observed: 0.453 vs 0.349 ("known"), 0.718 vs 0.450 ("others"), 0.603 vs 0.380 (total). This confirms that Risk Score RF's full-population discriminance is much stronger than observed on the booked population. The RI estimate is even higher than the Thorndike correction in most cases.</w:t>
      </w:r>
    </w:p>
    <w:p>
      <w:pPr>
        <w:pStyle w:val="ListBullet"/>
      </w:pPr>
      <w:r/>
      <w:r>
        <w:rPr>
          <w:b/>
        </w:rPr>
        <w:t>Score RF</w:t>
      </w:r>
      <w:r>
        <w:t xml:space="preserve"> RI Gini is mixed: higher than observed in "known" (0.281 vs 0.227) and total (0.412 vs 0.287), but </w:t>
      </w:r>
      <w:r>
        <w:rPr>
          <w:b/>
        </w:rPr>
        <w:t>lower</w:t>
      </w:r>
      <w:r>
        <w:t xml:space="preserve"> in "others" (0.332 vs 0.432). The drop in "others" reflects that when rejected applicants are added back, the score has a weaker gradient on the full population.</w:t>
      </w:r>
    </w:p>
    <w:p>
      <w:pPr>
        <w:pStyle w:val="ListBullet"/>
      </w:pPr>
      <w:r>
        <w:t>These are upper-bound estimates (circular: the score informs both selection and imputation). The CIs are tight, indicating stable estimation.</w:t>
      </w:r>
    </w:p>
    <w:p>
      <w:pPr>
        <w:jc w:val="center"/>
      </w:pPr>
      <w:r>
        <w:drawing>
          <wp:inline xmlns:a="http://schemas.openxmlformats.org/drawingml/2006/main" xmlns:pic="http://schemas.openxmlformats.org/drawingml/2006/picture">
            <wp:extent cx="5486400" cy="1758382"/>
            <wp:docPr id="16" name="Picture 16"/>
            <wp:cNvGraphicFramePr>
              <a:graphicFrameLocks noChangeAspect="1"/>
            </wp:cNvGraphicFramePr>
            <a:graphic>
              <a:graphicData uri="http://schemas.openxmlformats.org/drawingml/2006/picture">
                <pic:pic>
                  <pic:nvPicPr>
                    <pic:cNvPr id="0" name="ri_gini_comparison.png"/>
                    <pic:cNvPicPr/>
                  </pic:nvPicPr>
                  <pic:blipFill>
                    <a:blip r:embed="rId24"/>
                    <a:stretch>
                      <a:fillRect/>
                    </a:stretch>
                  </pic:blipFill>
                  <pic:spPr>
                    <a:xfrm>
                      <a:off x="0" y="0"/>
                      <a:ext cx="5486400" cy="1758382"/>
                    </a:xfrm>
                    <a:prstGeom prst="rect"/>
                  </pic:spPr>
                </pic:pic>
              </a:graphicData>
            </a:graphic>
          </wp:inline>
        </w:drawing>
      </w:r>
    </w:p>
    <w:p>
      <w:pPr>
        <w:pStyle w:val="Heading2"/>
      </w:pPr>
      <w:r>
        <w:t>12. Score Distribution Stability (Monthly PSI)</w:t>
      </w:r>
    </w:p>
    <w:p>
      <w:pPr/>
      <w:r>
        <w:t>PSI of each score's distribution across monthly vintages within the booked population (first 3 months as baseline). Thresholds: &lt; 0.1 = stable, 0.1-0.25 = moderate shift, &gt; 0.25 = significant shift.</w:t>
      </w:r>
    </w:p>
    <w:p>
      <w:pPr/>
      <w:r/>
      <w:r>
        <w:rPr>
          <w:b/>
        </w:rPr>
        <w:t>"Known":</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0" w:before="0"/>
            </w:pPr>
            <w:r>
              <w:rPr>
                <w:b/>
                <w:sz w:val="18"/>
              </w:rPr>
              <w:t>Score</w:t>
            </w:r>
          </w:p>
        </w:tc>
        <w:tc>
          <w:tcPr>
            <w:tcW w:type="dxa" w:w="2160"/>
          </w:tcPr>
          <w:p>
            <w:pPr>
              <w:spacing w:after="0" w:before="0"/>
            </w:pPr>
            <w:r>
              <w:rPr>
                <w:b/>
                <w:sz w:val="18"/>
              </w:rPr>
              <w:t>PSI Range</w:t>
            </w:r>
          </w:p>
        </w:tc>
        <w:tc>
          <w:tcPr>
            <w:tcW w:type="dxa" w:w="2160"/>
          </w:tcPr>
          <w:p>
            <w:pPr>
              <w:spacing w:after="0" w:before="0"/>
            </w:pPr>
            <w:r>
              <w:rPr>
                <w:b/>
                <w:sz w:val="18"/>
              </w:rPr>
              <w:t>Max PSI</w:t>
            </w:r>
          </w:p>
        </w:tc>
        <w:tc>
          <w:tcPr>
            <w:tcW w:type="dxa" w:w="2160"/>
          </w:tcPr>
          <w:p>
            <w:pPr>
              <w:spacing w:after="0" w:before="0"/>
            </w:pPr>
            <w:r>
              <w:rPr>
                <w:b/>
                <w:sz w:val="18"/>
              </w:rPr>
              <w:t>Interpretation</w:t>
            </w:r>
          </w:p>
        </w:tc>
      </w:tr>
      <w:tr>
        <w:tc>
          <w:tcPr>
            <w:tcW w:type="dxa" w:w="2160"/>
          </w:tcPr>
          <w:p>
            <w:pPr>
              <w:spacing w:after="0" w:before="0"/>
            </w:pPr>
            <w:r>
              <w:rPr>
                <w:sz w:val="18"/>
              </w:rPr>
              <w:t>-------</w:t>
            </w:r>
          </w:p>
        </w:tc>
        <w:tc>
          <w:tcPr>
            <w:tcW w:type="dxa" w:w="2160"/>
          </w:tcPr>
          <w:p>
            <w:pPr>
              <w:spacing w:after="0" w:before="0"/>
            </w:pPr>
            <w:r>
              <w:rPr>
                <w:sz w:val="18"/>
              </w:rPr>
              <w:t>:-:</w:t>
            </w:r>
          </w:p>
        </w:tc>
        <w:tc>
          <w:tcPr>
            <w:tcW w:type="dxa" w:w="2160"/>
          </w:tcPr>
          <w:p>
            <w:pPr>
              <w:spacing w:after="0" w:before="0"/>
            </w:pPr>
            <w:r>
              <w:rPr>
                <w:sz w:val="18"/>
              </w:rPr>
              <w:t>:-:</w:t>
            </w:r>
          </w:p>
        </w:tc>
        <w:tc>
          <w:tcPr>
            <w:tcW w:type="dxa" w:w="2160"/>
          </w:tcPr>
          <w:p>
            <w:pPr>
              <w:spacing w:after="0" w:before="0"/>
            </w:pPr>
            <w:r>
              <w:rPr>
                <w:sz w:val="18"/>
              </w:rPr>
              <w:t>---</w:t>
            </w:r>
          </w:p>
        </w:tc>
      </w:tr>
      <w:tr>
        <w:tc>
          <w:tcPr>
            <w:tcW w:type="dxa" w:w="2160"/>
          </w:tcPr>
          <w:p>
            <w:pPr>
              <w:spacing w:after="0" w:before="0"/>
            </w:pPr>
            <w:r>
              <w:rPr>
                <w:sz w:val="18"/>
              </w:rPr>
              <w:t>Score RF</w:t>
            </w:r>
          </w:p>
        </w:tc>
        <w:tc>
          <w:tcPr>
            <w:tcW w:type="dxa" w:w="2160"/>
          </w:tcPr>
          <w:p>
            <w:pPr>
              <w:spacing w:after="0" w:before="0"/>
            </w:pPr>
            <w:r>
              <w:rPr>
                <w:sz w:val="18"/>
              </w:rPr>
              <w:t>0.005 - 0.027</w:t>
            </w:r>
          </w:p>
        </w:tc>
        <w:tc>
          <w:tcPr>
            <w:tcW w:type="dxa" w:w="2160"/>
          </w:tcPr>
          <w:p>
            <w:pPr>
              <w:spacing w:after="0" w:before="0"/>
            </w:pPr>
            <w:r>
              <w:rPr>
                <w:sz w:val="18"/>
              </w:rPr>
              <w:t>0.027</w:t>
            </w:r>
          </w:p>
        </w:tc>
        <w:tc>
          <w:tcPr>
            <w:tcW w:type="dxa" w:w="2160"/>
          </w:tcPr>
          <w:p>
            <w:pPr>
              <w:spacing w:after="0" w:before="0"/>
            </w:pPr>
            <w:r>
              <w:rPr>
                <w:sz w:val="18"/>
              </w:rPr>
              <w:t>Stable (all &lt; 0.1)</w:t>
            </w:r>
          </w:p>
        </w:tc>
      </w:tr>
      <w:tr>
        <w:tc>
          <w:tcPr>
            <w:tcW w:type="dxa" w:w="2160"/>
          </w:tcPr>
          <w:p>
            <w:pPr>
              <w:spacing w:after="0" w:before="0"/>
            </w:pPr>
            <w:r>
              <w:rPr>
                <w:sz w:val="18"/>
              </w:rPr>
              <w:t>Risk Score RF</w:t>
            </w:r>
          </w:p>
        </w:tc>
        <w:tc>
          <w:tcPr>
            <w:tcW w:type="dxa" w:w="2160"/>
          </w:tcPr>
          <w:p>
            <w:pPr>
              <w:spacing w:after="0" w:before="0"/>
            </w:pPr>
            <w:r>
              <w:rPr>
                <w:sz w:val="18"/>
              </w:rPr>
              <w:t>0.004 - 0.069</w:t>
            </w:r>
          </w:p>
        </w:tc>
        <w:tc>
          <w:tcPr>
            <w:tcW w:type="dxa" w:w="2160"/>
          </w:tcPr>
          <w:p>
            <w:pPr>
              <w:spacing w:after="0" w:before="0"/>
            </w:pPr>
            <w:r>
              <w:rPr>
                <w:sz w:val="18"/>
              </w:rPr>
              <w:t>0.069</w:t>
            </w:r>
          </w:p>
        </w:tc>
        <w:tc>
          <w:tcPr>
            <w:tcW w:type="dxa" w:w="2160"/>
          </w:tcPr>
          <w:p>
            <w:pPr>
              <w:spacing w:after="0" w:before="0"/>
            </w:pPr>
            <w:r>
              <w:rPr>
                <w:sz w:val="18"/>
              </w:rPr>
              <w:t>Stable, slight uptick in Jun-Jul 2025</w:t>
            </w:r>
          </w:p>
        </w:tc>
      </w:tr>
    </w:tbl>
    <w:p/>
    <w:p>
      <w:pPr/>
      <w:r/>
      <w:r>
        <w:rPr>
          <w:b/>
        </w:rPr>
        <w:t>"Others":</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0" w:before="0"/>
            </w:pPr>
            <w:r>
              <w:rPr>
                <w:b/>
                <w:sz w:val="18"/>
              </w:rPr>
              <w:t>Score</w:t>
            </w:r>
          </w:p>
        </w:tc>
        <w:tc>
          <w:tcPr>
            <w:tcW w:type="dxa" w:w="2160"/>
          </w:tcPr>
          <w:p>
            <w:pPr>
              <w:spacing w:after="0" w:before="0"/>
            </w:pPr>
            <w:r>
              <w:rPr>
                <w:b/>
                <w:sz w:val="18"/>
              </w:rPr>
              <w:t>PSI Range</w:t>
            </w:r>
          </w:p>
        </w:tc>
        <w:tc>
          <w:tcPr>
            <w:tcW w:type="dxa" w:w="2160"/>
          </w:tcPr>
          <w:p>
            <w:pPr>
              <w:spacing w:after="0" w:before="0"/>
            </w:pPr>
            <w:r>
              <w:rPr>
                <w:b/>
                <w:sz w:val="18"/>
              </w:rPr>
              <w:t>Max PSI</w:t>
            </w:r>
          </w:p>
        </w:tc>
        <w:tc>
          <w:tcPr>
            <w:tcW w:type="dxa" w:w="2160"/>
          </w:tcPr>
          <w:p>
            <w:pPr>
              <w:spacing w:after="0" w:before="0"/>
            </w:pPr>
            <w:r>
              <w:rPr>
                <w:b/>
                <w:sz w:val="18"/>
              </w:rPr>
              <w:t>Interpretation</w:t>
            </w:r>
          </w:p>
        </w:tc>
      </w:tr>
      <w:tr>
        <w:tc>
          <w:tcPr>
            <w:tcW w:type="dxa" w:w="2160"/>
          </w:tcPr>
          <w:p>
            <w:pPr>
              <w:spacing w:after="0" w:before="0"/>
            </w:pPr>
            <w:r>
              <w:rPr>
                <w:sz w:val="18"/>
              </w:rPr>
              <w:t>-------</w:t>
            </w:r>
          </w:p>
        </w:tc>
        <w:tc>
          <w:tcPr>
            <w:tcW w:type="dxa" w:w="2160"/>
          </w:tcPr>
          <w:p>
            <w:pPr>
              <w:spacing w:after="0" w:before="0"/>
            </w:pPr>
            <w:r>
              <w:rPr>
                <w:sz w:val="18"/>
              </w:rPr>
              <w:t>:-:</w:t>
            </w:r>
          </w:p>
        </w:tc>
        <w:tc>
          <w:tcPr>
            <w:tcW w:type="dxa" w:w="2160"/>
          </w:tcPr>
          <w:p>
            <w:pPr>
              <w:spacing w:after="0" w:before="0"/>
            </w:pPr>
            <w:r>
              <w:rPr>
                <w:sz w:val="18"/>
              </w:rPr>
              <w:t>:-:</w:t>
            </w:r>
          </w:p>
        </w:tc>
        <w:tc>
          <w:tcPr>
            <w:tcW w:type="dxa" w:w="2160"/>
          </w:tcPr>
          <w:p>
            <w:pPr>
              <w:spacing w:after="0" w:before="0"/>
            </w:pPr>
            <w:r>
              <w:rPr>
                <w:sz w:val="18"/>
              </w:rPr>
              <w:t>---</w:t>
            </w:r>
          </w:p>
        </w:tc>
      </w:tr>
      <w:tr>
        <w:tc>
          <w:tcPr>
            <w:tcW w:type="dxa" w:w="2160"/>
          </w:tcPr>
          <w:p>
            <w:pPr>
              <w:spacing w:after="0" w:before="0"/>
            </w:pPr>
            <w:r>
              <w:rPr>
                <w:sz w:val="18"/>
              </w:rPr>
              <w:t>Score RF</w:t>
            </w:r>
          </w:p>
        </w:tc>
        <w:tc>
          <w:tcPr>
            <w:tcW w:type="dxa" w:w="2160"/>
          </w:tcPr>
          <w:p>
            <w:pPr>
              <w:spacing w:after="0" w:before="0"/>
            </w:pPr>
            <w:r>
              <w:rPr>
                <w:sz w:val="18"/>
              </w:rPr>
              <w:t>0.030 - 0.182</w:t>
            </w:r>
          </w:p>
        </w:tc>
        <w:tc>
          <w:tcPr>
            <w:tcW w:type="dxa" w:w="2160"/>
          </w:tcPr>
          <w:p>
            <w:pPr>
              <w:spacing w:after="0" w:before="0"/>
            </w:pPr>
            <w:r>
              <w:rPr>
                <w:sz w:val="18"/>
              </w:rPr>
              <w:t>0.182</w:t>
            </w:r>
          </w:p>
        </w:tc>
        <w:tc>
          <w:tcPr>
            <w:tcW w:type="dxa" w:w="2160"/>
          </w:tcPr>
          <w:p>
            <w:pPr>
              <w:spacing w:after="0" w:before="0"/>
            </w:pPr>
            <w:r>
              <w:rPr>
                <w:sz w:val="18"/>
              </w:rPr>
              <w:t>Moderate shift from Mar 2025</w:t>
            </w:r>
          </w:p>
        </w:tc>
      </w:tr>
      <w:tr>
        <w:tc>
          <w:tcPr>
            <w:tcW w:type="dxa" w:w="2160"/>
          </w:tcPr>
          <w:p>
            <w:pPr>
              <w:spacing w:after="0" w:before="0"/>
            </w:pPr>
            <w:r>
              <w:rPr>
                <w:sz w:val="18"/>
              </w:rPr>
              <w:t>Risk Score RF</w:t>
            </w:r>
          </w:p>
        </w:tc>
        <w:tc>
          <w:tcPr>
            <w:tcW w:type="dxa" w:w="2160"/>
          </w:tcPr>
          <w:p>
            <w:pPr>
              <w:spacing w:after="0" w:before="0"/>
            </w:pPr>
            <w:r>
              <w:rPr>
                <w:sz w:val="18"/>
              </w:rPr>
              <w:t>0.002 - 0.105</w:t>
            </w:r>
          </w:p>
        </w:tc>
        <w:tc>
          <w:tcPr>
            <w:tcW w:type="dxa" w:w="2160"/>
          </w:tcPr>
          <w:p>
            <w:pPr>
              <w:spacing w:after="0" w:before="0"/>
            </w:pPr>
            <w:r>
              <w:rPr>
                <w:sz w:val="18"/>
              </w:rPr>
              <w:t>0.105</w:t>
            </w:r>
          </w:p>
        </w:tc>
        <w:tc>
          <w:tcPr>
            <w:tcW w:type="dxa" w:w="2160"/>
          </w:tcPr>
          <w:p>
            <w:pPr>
              <w:spacing w:after="0" w:before="0"/>
            </w:pPr>
            <w:r>
              <w:rPr>
                <w:sz w:val="18"/>
              </w:rPr>
              <w:t>Moderate shift in Apr 2025</w:t>
            </w:r>
          </w:p>
        </w:tc>
      </w:tr>
    </w:tbl>
    <w:p/>
    <w:p>
      <w:pPr/>
      <w:r/>
      <w:r>
        <w:rPr>
          <w:b/>
        </w:rPr>
        <w:t>"Total":</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0" w:before="0"/>
            </w:pPr>
            <w:r>
              <w:rPr>
                <w:b/>
                <w:sz w:val="18"/>
              </w:rPr>
              <w:t>Score</w:t>
            </w:r>
          </w:p>
        </w:tc>
        <w:tc>
          <w:tcPr>
            <w:tcW w:type="dxa" w:w="2160"/>
          </w:tcPr>
          <w:p>
            <w:pPr>
              <w:spacing w:after="0" w:before="0"/>
            </w:pPr>
            <w:r>
              <w:rPr>
                <w:b/>
                <w:sz w:val="18"/>
              </w:rPr>
              <w:t>PSI Range</w:t>
            </w:r>
          </w:p>
        </w:tc>
        <w:tc>
          <w:tcPr>
            <w:tcW w:type="dxa" w:w="2160"/>
          </w:tcPr>
          <w:p>
            <w:pPr>
              <w:spacing w:after="0" w:before="0"/>
            </w:pPr>
            <w:r>
              <w:rPr>
                <w:b/>
                <w:sz w:val="18"/>
              </w:rPr>
              <w:t>Max PSI</w:t>
            </w:r>
          </w:p>
        </w:tc>
        <w:tc>
          <w:tcPr>
            <w:tcW w:type="dxa" w:w="2160"/>
          </w:tcPr>
          <w:p>
            <w:pPr>
              <w:spacing w:after="0" w:before="0"/>
            </w:pPr>
            <w:r>
              <w:rPr>
                <w:b/>
                <w:sz w:val="18"/>
              </w:rPr>
              <w:t>Interpretation</w:t>
            </w:r>
          </w:p>
        </w:tc>
      </w:tr>
      <w:tr>
        <w:tc>
          <w:tcPr>
            <w:tcW w:type="dxa" w:w="2160"/>
          </w:tcPr>
          <w:p>
            <w:pPr>
              <w:spacing w:after="0" w:before="0"/>
            </w:pPr>
            <w:r>
              <w:rPr>
                <w:sz w:val="18"/>
              </w:rPr>
              <w:t>-------</w:t>
            </w:r>
          </w:p>
        </w:tc>
        <w:tc>
          <w:tcPr>
            <w:tcW w:type="dxa" w:w="2160"/>
          </w:tcPr>
          <w:p>
            <w:pPr>
              <w:spacing w:after="0" w:before="0"/>
            </w:pPr>
            <w:r>
              <w:rPr>
                <w:sz w:val="18"/>
              </w:rPr>
              <w:t>:-:</w:t>
            </w:r>
          </w:p>
        </w:tc>
        <w:tc>
          <w:tcPr>
            <w:tcW w:type="dxa" w:w="2160"/>
          </w:tcPr>
          <w:p>
            <w:pPr>
              <w:spacing w:after="0" w:before="0"/>
            </w:pPr>
            <w:r>
              <w:rPr>
                <w:sz w:val="18"/>
              </w:rPr>
              <w:t>:-:</w:t>
            </w:r>
          </w:p>
        </w:tc>
        <w:tc>
          <w:tcPr>
            <w:tcW w:type="dxa" w:w="2160"/>
          </w:tcPr>
          <w:p>
            <w:pPr>
              <w:spacing w:after="0" w:before="0"/>
            </w:pPr>
            <w:r>
              <w:rPr>
                <w:sz w:val="18"/>
              </w:rPr>
              <w:t>---</w:t>
            </w:r>
          </w:p>
        </w:tc>
      </w:tr>
      <w:tr>
        <w:tc>
          <w:tcPr>
            <w:tcW w:type="dxa" w:w="2160"/>
          </w:tcPr>
          <w:p>
            <w:pPr>
              <w:spacing w:after="0" w:before="0"/>
            </w:pPr>
            <w:r>
              <w:rPr>
                <w:sz w:val="18"/>
              </w:rPr>
              <w:t>Score RF</w:t>
            </w:r>
          </w:p>
        </w:tc>
        <w:tc>
          <w:tcPr>
            <w:tcW w:type="dxa" w:w="2160"/>
          </w:tcPr>
          <w:p>
            <w:pPr>
              <w:spacing w:after="0" w:before="0"/>
            </w:pPr>
            <w:r>
              <w:rPr>
                <w:sz w:val="18"/>
              </w:rPr>
              <w:t>0.006 - 0.019</w:t>
            </w:r>
          </w:p>
        </w:tc>
        <w:tc>
          <w:tcPr>
            <w:tcW w:type="dxa" w:w="2160"/>
          </w:tcPr>
          <w:p>
            <w:pPr>
              <w:spacing w:after="0" w:before="0"/>
            </w:pPr>
            <w:r>
              <w:rPr>
                <w:sz w:val="18"/>
              </w:rPr>
              <w:t>0.019</w:t>
            </w:r>
          </w:p>
        </w:tc>
        <w:tc>
          <w:tcPr>
            <w:tcW w:type="dxa" w:w="2160"/>
          </w:tcPr>
          <w:p>
            <w:pPr>
              <w:spacing w:after="0" w:before="0"/>
            </w:pPr>
            <w:r>
              <w:rPr>
                <w:sz w:val="18"/>
              </w:rPr>
              <w:t>Stable</w:t>
            </w:r>
          </w:p>
        </w:tc>
      </w:tr>
      <w:tr>
        <w:tc>
          <w:tcPr>
            <w:tcW w:type="dxa" w:w="2160"/>
          </w:tcPr>
          <w:p>
            <w:pPr>
              <w:spacing w:after="0" w:before="0"/>
            </w:pPr>
            <w:r>
              <w:rPr>
                <w:sz w:val="18"/>
              </w:rPr>
              <w:t>Risk Score RF</w:t>
            </w:r>
          </w:p>
        </w:tc>
        <w:tc>
          <w:tcPr>
            <w:tcW w:type="dxa" w:w="2160"/>
          </w:tcPr>
          <w:p>
            <w:pPr>
              <w:spacing w:after="0" w:before="0"/>
            </w:pPr>
            <w:r>
              <w:rPr>
                <w:sz w:val="18"/>
              </w:rPr>
              <w:t>0.003 - 0.039</w:t>
            </w:r>
          </w:p>
        </w:tc>
        <w:tc>
          <w:tcPr>
            <w:tcW w:type="dxa" w:w="2160"/>
          </w:tcPr>
          <w:p>
            <w:pPr>
              <w:spacing w:after="0" w:before="0"/>
            </w:pPr>
            <w:r>
              <w:rPr>
                <w:sz w:val="18"/>
              </w:rPr>
              <w:t>0.039</w:t>
            </w:r>
          </w:p>
        </w:tc>
        <w:tc>
          <w:tcPr>
            <w:tcW w:type="dxa" w:w="2160"/>
          </w:tcPr>
          <w:p>
            <w:pPr>
              <w:spacing w:after="0" w:before="0"/>
            </w:pPr>
            <w:r>
              <w:rPr>
                <w:sz w:val="18"/>
              </w:rPr>
              <w:t>Stable</w:t>
            </w:r>
          </w:p>
        </w:tc>
      </w:tr>
    </w:tbl>
    <w:p/>
    <w:p>
      <w:pPr/>
      <w:r/>
      <w:r>
        <w:rPr>
          <w:b/>
        </w:rPr>
        <w:t>Interpretation:</w:t>
      </w:r>
      <w:r/>
    </w:p>
    <w:p>
      <w:pPr>
        <w:pStyle w:val="ListBullet"/>
      </w:pPr>
      <w:r>
        <w:t xml:space="preserve">In </w:t>
      </w:r>
      <w:r>
        <w:rPr>
          <w:b/>
        </w:rPr>
        <w:t>"known"</w:t>
      </w:r>
      <w:r>
        <w:t xml:space="preserve"> and </w:t>
      </w:r>
      <w:r>
        <w:rPr>
          <w:b/>
        </w:rPr>
        <w:t>total</w:t>
      </w:r>
      <w:r>
        <w:t xml:space="preserve">, both scores are </w:t>
      </w:r>
      <w:r>
        <w:rPr>
          <w:b/>
        </w:rPr>
        <w:t>stable</w:t>
      </w:r>
      <w:r>
        <w:t xml:space="preserve"> (all PSI &lt; 0.1). Gini fluctuations are not explained by score distribution drift.</w:t>
      </w:r>
    </w:p>
    <w:p>
      <w:pPr>
        <w:pStyle w:val="ListBullet"/>
      </w:pPr>
      <w:r>
        <w:t xml:space="preserve">In </w:t>
      </w:r>
      <w:r>
        <w:rPr>
          <w:b/>
        </w:rPr>
        <w:t>"others"</w:t>
      </w:r>
      <w:r>
        <w:t xml:space="preserve">, Score RF shows </w:t>
      </w:r>
      <w:r>
        <w:rPr>
          <w:b/>
        </w:rPr>
        <w:t>moderate distribution shift</w:t>
      </w:r>
      <w:r>
        <w:t xml:space="preserve"> (PSI = 0.13-0.18 from March 2025 onwards). This could reflect changing applicant mix as the "others" segments grow. Risk Score RF also shifts moderately in April. This means some of the Gini volatility in "others" may be driven by population composition changes, not just selection bias or sampling noise.</w:t>
      </w:r>
    </w:p>
    <w:p>
      <w:pPr>
        <w:jc w:val="center"/>
      </w:pPr>
      <w:r>
        <w:drawing>
          <wp:inline xmlns:a="http://schemas.openxmlformats.org/drawingml/2006/main" xmlns:pic="http://schemas.openxmlformats.org/drawingml/2006/picture">
            <wp:extent cx="5486400" cy="2192678"/>
            <wp:docPr id="17" name="Picture 17"/>
            <wp:cNvGraphicFramePr>
              <a:graphicFrameLocks noChangeAspect="1"/>
            </wp:cNvGraphicFramePr>
            <a:graphic>
              <a:graphicData uri="http://schemas.openxmlformats.org/drawingml/2006/picture">
                <pic:pic>
                  <pic:nvPicPr>
                    <pic:cNvPr id="0" name="monthly_psi_known_main.png"/>
                    <pic:cNvPicPr/>
                  </pic:nvPicPr>
                  <pic:blipFill>
                    <a:blip r:embed="rId25"/>
                    <a:stretch>
                      <a:fillRect/>
                    </a:stretch>
                  </pic:blipFill>
                  <pic:spPr>
                    <a:xfrm>
                      <a:off x="0" y="0"/>
                      <a:ext cx="5486400" cy="2192678"/>
                    </a:xfrm>
                    <a:prstGeom prst="rect"/>
                  </pic:spPr>
                </pic:pic>
              </a:graphicData>
            </a:graphic>
          </wp:inline>
        </w:drawing>
      </w:r>
    </w:p>
    <w:p>
      <w:pPr>
        <w:jc w:val="center"/>
      </w:pPr>
      <w:r>
        <w:drawing>
          <wp:inline xmlns:a="http://schemas.openxmlformats.org/drawingml/2006/main" xmlns:pic="http://schemas.openxmlformats.org/drawingml/2006/picture">
            <wp:extent cx="5486400" cy="2192678"/>
            <wp:docPr id="18" name="Picture 18"/>
            <wp:cNvGraphicFramePr>
              <a:graphicFrameLocks noChangeAspect="1"/>
            </wp:cNvGraphicFramePr>
            <a:graphic>
              <a:graphicData uri="http://schemas.openxmlformats.org/drawingml/2006/picture">
                <pic:pic>
                  <pic:nvPicPr>
                    <pic:cNvPr id="0" name="monthly_psi_others_main.png"/>
                    <pic:cNvPicPr/>
                  </pic:nvPicPr>
                  <pic:blipFill>
                    <a:blip r:embed="rId26"/>
                    <a:stretch>
                      <a:fillRect/>
                    </a:stretch>
                  </pic:blipFill>
                  <pic:spPr>
                    <a:xfrm>
                      <a:off x="0" y="0"/>
                      <a:ext cx="5486400" cy="2192678"/>
                    </a:xfrm>
                    <a:prstGeom prst="rect"/>
                  </pic:spPr>
                </pic:pic>
              </a:graphicData>
            </a:graphic>
          </wp:inline>
        </w:drawing>
      </w:r>
    </w:p>
    <w:p>
      <w:pPr>
        <w:jc w:val="center"/>
      </w:pPr>
      <w:r>
        <w:drawing>
          <wp:inline xmlns:a="http://schemas.openxmlformats.org/drawingml/2006/main" xmlns:pic="http://schemas.openxmlformats.org/drawingml/2006/picture">
            <wp:extent cx="5486400" cy="2192678"/>
            <wp:docPr id="19" name="Picture 19"/>
            <wp:cNvGraphicFramePr>
              <a:graphicFrameLocks noChangeAspect="1"/>
            </wp:cNvGraphicFramePr>
            <a:graphic>
              <a:graphicData uri="http://schemas.openxmlformats.org/drawingml/2006/picture">
                <pic:pic>
                  <pic:nvPicPr>
                    <pic:cNvPr id="0" name="monthly_psi_total_main.png"/>
                    <pic:cNvPicPr/>
                  </pic:nvPicPr>
                  <pic:blipFill>
                    <a:blip r:embed="rId27"/>
                    <a:stretch>
                      <a:fillRect/>
                    </a:stretch>
                  </pic:blipFill>
                  <pic:spPr>
                    <a:xfrm>
                      <a:off x="0" y="0"/>
                      <a:ext cx="5486400" cy="2192678"/>
                    </a:xfrm>
                    <a:prstGeom prst="rect"/>
                  </pic:spPr>
                </pic:pic>
              </a:graphicData>
            </a:graphic>
          </wp:inline>
        </w:drawing>
      </w:r>
    </w:p>
    <w:p>
      <w:pPr>
        <w:pStyle w:val="Heading1"/>
      </w:pPr>
      <w:r>
        <w:t>Conclusions</w:t>
      </w:r>
    </w:p>
    <w:p>
      <w:pPr>
        <w:pStyle w:val="Heading2"/>
      </w:pPr>
      <w:r>
        <w:t>What selection bias explains</w:t>
      </w:r>
    </w:p>
    <w:p>
      <w:pPr>
        <w:pStyle w:val="ListNumber"/>
      </w:pPr>
      <w:r/>
      <w:r>
        <w:rPr>
          <w:b/>
        </w:rPr>
        <w:t>Risk Score RF loses 14-19% of its discriminance</w:t>
      </w:r>
      <w:r>
        <w:t xml:space="preserve"> due to range restriction. The Thorndike-corrected Gini is 0.41-0.53, and the RI-imputed Gini is even higher (0.45-0.72) across groups. Both methods agree: the true unrestricted Gini is substantially above observed. This is the clearest finding.</w:t>
      </w:r>
    </w:p>
    <w:p>
      <w:pPr>
        <w:pStyle w:val="ListNumber"/>
      </w:pPr>
      <w:r>
        <w:t>Risk Score RF is truncated consistently (u = 0.79-0.85), and this holds even after isolating to score-based rejections (u = 0.86-0.91). The acceptance policy genuinely acts on this score.</w:t>
      </w:r>
    </w:p>
    <w:p>
      <w:pPr>
        <w:pStyle w:val="ListNumber"/>
      </w:pPr>
      <w:r/>
      <w:r>
        <w:rPr>
          <w:b/>
        </w:rPr>
        <w:t>Score RF has very high selection Gini</w:t>
      </w:r>
      <w:r>
        <w:t xml:space="preserve"> (0.56-0.67) but much lower outcome Gini (0.23-0.43), which is the classic selection-bias signature. Its discriminance is largely "consumed" by the acceptance decision.</w:t>
      </w:r>
    </w:p>
    <w:p>
      <w:pPr>
        <w:pStyle w:val="Heading2"/>
      </w:pPr>
      <w:r>
        <w:t>What selection bias does NOT explain</w:t>
      </w:r>
    </w:p>
    <w:p>
      <w:pPr>
        <w:pStyle w:val="ListNumber"/>
      </w:pPr>
      <w:r/>
      <w:r>
        <w:rPr>
          <w:b/>
        </w:rPr>
        <w:t>Score RF's low Gini in "known" (0.23)</w:t>
      </w:r>
      <w:r>
        <w:t xml:space="preserve"> — all corrections are modest: Thorndike gives 0.25, RI gives 0.28, score-rejection-only u = 0.98 (essentially no truncation). The bad-rate gradient (0.75% → 3.08%) is present but weak (~4x). The low discriminance is genuine.</w:t>
      </w:r>
    </w:p>
    <w:p>
      <w:pPr>
        <w:pStyle w:val="ListNumber"/>
      </w:pPr>
      <w:r/>
      <w:r>
        <w:rPr>
          <w:b/>
        </w:rPr>
        <w:t>The gap between Score RF and Risk Score RF</w:t>
      </w:r>
      <w:r>
        <w:t xml:space="preserve"> — even after all corrections, Risk Score RF outperforms Score RF in "known" (RI Gini: 0.45 vs 0.28). Risk Score RF has a ~8x bad-rate gradient (0.74% → 6.00%) vs Score RF's ~4x. This is intrinsic discriminance, not an artifact.</w:t>
      </w:r>
    </w:p>
    <w:p>
      <w:pPr>
        <w:pStyle w:val="ListNumber"/>
      </w:pPr>
      <w:r/>
      <w:r>
        <w:rPr>
          <w:b/>
        </w:rPr>
        <w:t>Temporal Gini fluctuations</w:t>
      </w:r>
      <w:r>
        <w:t xml:space="preserve"> — Score RF Gini varies widely in "known" (0.12-0.30) while PSI stays below 0.03 and acceptance rate barely moves. This instability is not driven by population shift or selection changes.</w:t>
      </w:r>
    </w:p>
    <w:p>
      <w:pPr>
        <w:pStyle w:val="ListNumber"/>
      </w:pPr>
      <w:r/>
      <w:r>
        <w:rPr>
          <w:b/>
        </w:rPr>
        <w:t>The scores are weakly correlated</w:t>
      </w:r>
      <w:r>
        <w:t xml:space="preserve"> (r = 0.25-0.32), meaning selection on one does not strongly truncate the other. Score RF's issues are its own.</w:t>
      </w:r>
    </w:p>
    <w:p>
      <w:pPr>
        <w:pStyle w:val="Heading2"/>
      </w:pPr>
      <w:r>
        <w:t>The role of non-score rejection</w:t>
      </w:r>
    </w:p>
    <w:p>
      <w:pPr/>
      <w:r>
        <w:t xml:space="preserve">When isolating to score-based rejections only, the acceptance rate jumps from 15.4% to 41.9% ("known") and from 2.4% to 4.9% ("others"). The u_ratio moves closer to 1.0 in all cases. This confirms that </w:t>
      </w:r>
      <w:r>
        <w:rPr>
          <w:b/>
        </w:rPr>
        <w:t>most rejection is policy-driven, not score-driven</w:t>
      </w:r>
      <w:r>
        <w:t>, and the effective score-based truncation is much milder than raw acceptance rates suggest.</w:t>
      </w:r>
    </w:p>
    <w:p>
      <w:pPr/>
      <w:r>
        <w:t>In "others", Score RF has u &gt; 1.0 even after filtering (u = 1.50), meaning the score simply does not drive selection in this group.</w:t>
      </w:r>
    </w:p>
    <w:p>
      <w:pPr>
        <w:pStyle w:val="Heading2"/>
      </w:pPr>
      <w:r>
        <w:t>Score stability</w:t>
      </w:r>
    </w:p>
    <w:p>
      <w:pPr/>
      <w:r>
        <w:t xml:space="preserve">Both scores are </w:t>
      </w:r>
      <w:r>
        <w:rPr>
          <w:b/>
        </w:rPr>
        <w:t>stable</w:t>
      </w:r>
      <w:r>
        <w:t xml:space="preserve"> in "known" and total (PSI &lt; 0.07). In "others", Score RF shows </w:t>
      </w:r>
      <w:r>
        <w:rPr>
          <w:b/>
        </w:rPr>
        <w:t>moderate distribution shift</w:t>
      </w:r>
      <w:r>
        <w:t xml:space="preserve"> (PSI up to 0.18) from March 2025, coinciding with segment growth. This suggests some Gini volatility in "others" reflects changing population composition rather than selection bias.</w:t>
      </w:r>
    </w:p>
    <w:p>
      <w:pPr>
        <w:pStyle w:val="Heading2"/>
      </w:pPr>
      <w:r>
        <w:t>Recommendations</w:t>
      </w:r>
    </w:p>
    <w:p>
      <w:pPr>
        <w:pStyle w:val="ListNumber"/>
      </w:pPr>
      <w:r/>
      <w:r>
        <w:rPr>
          <w:b/>
        </w:rPr>
        <w:t>Risk Score RF's observed Gini should be interpreted with a +20-60% correction</w:t>
      </w:r>
      <w:r>
        <w:t xml:space="preserve"> when comparing to benchmarks. The RI-imputed Gini (0.45-0.72) provides a practical upper bound.</w:t>
      </w:r>
    </w:p>
    <w:p>
      <w:pPr>
        <w:pStyle w:val="ListNumber"/>
      </w:pPr>
      <w:r/>
      <w:r>
        <w:rPr>
          <w:b/>
        </w:rPr>
        <w:t>Score RF's low discriminance in "known" is a genuine finding</w:t>
      </w:r>
      <w:r>
        <w:t>. Its bad-rate gradient is weak, and the booked-vs-rejected analysis reveals that its power is concentrated in the acceptance decision, not default prediction. This suggests the score's features may need retraining for outcome prediction.</w:t>
      </w:r>
    </w:p>
    <w:p>
      <w:pPr>
        <w:pStyle w:val="ListNumber"/>
      </w:pPr>
      <w:r/>
      <w:r>
        <w:rPr>
          <w:b/>
        </w:rPr>
        <w:t>The Combined logistic score</w:t>
      </w:r>
      <w:r>
        <w:t xml:space="preserve"> (Gini 0.37-0.64) should be preferred for monitoring. The weak inter-score correlation (r ~ 0.25) confirms they capture complementary information.</w:t>
      </w:r>
    </w:p>
    <w:p>
      <w:pPr>
        <w:pStyle w:val="ListNumber"/>
      </w:pPr>
      <w:r/>
      <w:r>
        <w:rPr>
          <w:b/>
        </w:rPr>
        <w:t>Monitor PSI monthly</w:t>
      </w:r>
      <w:r>
        <w:t xml:space="preserve"> in the "others" group. The moderate distribution shift (PSI 0.13-0.18) may signal population drift that affects model performance.</w:t>
      </w:r>
    </w:p>
    <w:p>
      <w:pPr>
        <w:pStyle w:val="Heading1"/>
      </w:pPr>
      <w:r>
        <w:t>Caveats and Limitations</w:t>
      </w:r>
    </w:p>
    <w:p>
      <w:pPr>
        <w:pStyle w:val="ListBullet"/>
      </w:pPr>
      <w:r/>
      <w:r>
        <w:rPr>
          <w:b/>
        </w:rPr>
        <w:t>Thorndike Case 2 assumes bivariate normality and direct selection on the predictor</w:t>
      </w:r>
      <w:r>
        <w:t>. Credit scores have non-normal distributions. The correction is approximate and likely an upper bound on the true unrestricted Gini.</w:t>
      </w:r>
    </w:p>
    <w:p>
      <w:pPr>
        <w:pStyle w:val="ListBullet"/>
      </w:pPr>
      <w:r/>
      <w:r>
        <w:rPr>
          <w:b/>
        </w:rPr>
        <w:t>RI Gini is circular</w:t>
      </w:r>
      <w:r>
        <w:t>: the score informs both the selection mechanism and the outcome imputation. The estimates should be treated as upper bounds, not precise corrections.</w:t>
      </w:r>
    </w:p>
    <w:p>
      <w:pPr>
        <w:pStyle w:val="ListBullet"/>
      </w:pPr>
      <w:r/>
      <w:r>
        <w:rPr>
          <w:b/>
        </w:rPr>
        <w:t>`early_bad` is only observed for booked loans</w:t>
      </w:r>
      <w:r>
        <w:t>. There is no way to compute the "true" unrestricted Gini directly. All evidence is indirect — the convergence of multiple methods (Thorndike, RI, booked-vs-rejected, simulated restriction) strengthens the conclusions.</w:t>
      </w:r>
    </w:p>
    <w:p>
      <w:pPr>
        <w:pStyle w:val="ListBullet"/>
      </w:pPr>
      <w:r/>
      <w:r>
        <w:rPr>
          <w:b/>
        </w:rPr>
        <w:t>Cross-group scatter has only 3 data points</w:t>
      </w:r>
      <w:r>
        <w:t xml:space="preserve"> and is heavily confounded by population differences. It should be treated as illustrative, not evidential.</w:t>
      </w:r>
    </w:p>
    <w:p>
      <w:pPr>
        <w:pStyle w:val="ListBullet"/>
      </w:pPr>
      <w:r/>
      <w:r>
        <w:rPr>
          <w:b/>
        </w:rPr>
        <w:t>Temporal analysis</w:t>
      </w:r>
      <w:r>
        <w:t xml:space="preserve"> is limited by very stable acceptance rates in "known" and very small sample sizes in "others". A longer observation window or period with policy changes would strengthen this analysis.</w:t>
      </w:r>
    </w:p>
    <w:p>
      <w:pPr>
        <w:pStyle w:val="ListBullet"/>
      </w:pPr>
      <w:r/>
      <w:r>
        <w:rPr>
          <w:b/>
        </w:rPr>
        <w:t>The "others" group</w:t>
      </w:r>
      <w:r>
        <w:t xml:space="preserve"> includes heterogeneous segments (fintonic, open banking, consolidation products) whose aggregation may mask within-group patterns. The moderate PSI shift suggests this heterogeneity is increasing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C3E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C3E5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