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472"/>
          <w:spacing w:val="18"/>
          <w:sz w:val="18"/>
          <w:szCs w:val="18"/>
        </w:rPr>
        <w:t xml:space="preserve">EXECUTION ROADMAP</w:t>
      </w:r>
    </w:p>
    <w:p>
      <w:pPr>
        <w:spacing w:after="100"/>
      </w:pPr>
      <w:r>
        <w:rPr>
          <w:b/>
          <w:bCs/>
          <w:color w:val="1A2233"/>
          <w:sz w:val="36"/>
          <w:szCs w:val="36"/>
        </w:rPr>
        <w:t xml:space="preserve">Next Steps for Executing the Project</w:t>
      </w:r>
    </w:p>
    <w:p>
      <w:pPr>
        <w:pBdr>
          <w:bottom w:val="single" w:color="C9CDD6" w:sz="8" w:space="10"/>
        </w:pBdr>
        <w:spacing w:after="260"/>
      </w:pPr>
      <w:r>
        <w:rPr>
          <w:color w:val="5B6472"/>
          <w:sz w:val="20"/>
          <w:szCs w:val="20"/>
        </w:rPr>
        <w:t xml:space="preserve">edge-ai-fault-diagnosis-aerospace  ·  Independent Research Project  ·  Isse Odawa  ·  August 26, 2026</w:t>
      </w:r>
    </w:p>
    <w:p>
      <w:pPr>
        <w:pStyle w:val="Heading1"/>
        <w:pBdr>
          <w:bottom w:val="single" w:color="C9CDD6" w:sz="6" w:space="6"/>
        </w:pBdr>
        <w:spacing w:after="160" w:before="420"/>
      </w:pPr>
      <w:r>
        <w:rPr>
          <w:b/>
          <w:bCs/>
          <w:color w:val="1A2233"/>
          <w:sz w:val="26"/>
          <w:szCs w:val="26"/>
        </w:rPr>
        <w:t xml:space="preserve">Where the Project Stands</w:t>
      </w:r>
    </w:p>
    <w:p>
      <w:pPr>
        <w:spacing w:after="200" w:line="300"/>
      </w:pPr>
      <w:r>
        <w:rPr>
          <w:color w:val="1A2233"/>
          <w:sz w:val="22"/>
          <w:szCs w:val="22"/>
        </w:rPr>
        <w:t xml:space="preserve">The GitHub repository is live and scaffolded, with all nine docs/praxis/ files pre-filled from the proposal and placeholder modules in place across src/edge_fault_dx/. The N-CMAPSS DS03 dataset is being downloaded from NASA's PCoE repository and staged into Google Drive for use in Colab. This document lays out the realistic order of work from here through completion of the six research phases.</w:t>
      </w:r>
    </w:p>
    <w:p>
      <w:pPr>
        <w:pStyle w:val="Heading1"/>
        <w:pBdr>
          <w:bottom w:val="single" w:color="C9CDD6" w:sz="6" w:space="6"/>
        </w:pBdr>
        <w:spacing w:after="160" w:before="420"/>
      </w:pPr>
      <w:r>
        <w:rPr>
          <w:b/>
          <w:bCs/>
          <w:color w:val="1A2233"/>
          <w:sz w:val="26"/>
          <w:szCs w:val="26"/>
        </w:rPr>
        <w:t xml:space="preserve">Immediate Next Step: Exploratory Data Analysis</w:t>
      </w:r>
    </w:p>
    <w:p>
      <w:pPr>
        <w:spacing w:after="200" w:line="300"/>
      </w:pPr>
      <w:r>
        <w:rPr>
          <w:color w:val="1A2233"/>
          <w:sz w:val="22"/>
          <w:szCs w:val="22"/>
        </w:rPr>
        <w:t xml:space="preserve">Before writing any pipeline code, do a first exploratory pass on the actual downloaded file. Open (or create) notebooks/01_eda.ipynb in Colab, load N-CMAPSS_DS03-012.h5 with h5py, and confirm what it actually contains: the HDF5 keys present, whether the W (flight-condition) and X_s (sensor) array shapes match what's documented in docs/data-dictionary.md, and how many units and cycles this subset holds. This step exists to verify assumptions against the real file before building the pipeline around them, rather than after.</w:t>
      </w:r>
    </w:p>
    <w:p>
      <w:pPr>
        <w:pStyle w:val="Heading1"/>
        <w:pBdr>
          <w:bottom w:val="single" w:color="C9CDD6" w:sz="6" w:space="6"/>
        </w:pBdr>
        <w:spacing w:after="160" w:before="420"/>
      </w:pPr>
      <w:r>
        <w:rPr>
          <w:b/>
          <w:bCs/>
          <w:color w:val="1A2233"/>
          <w:sz w:val="26"/>
          <w:szCs w:val="26"/>
        </w:rPr>
        <w:t xml:space="preserve">The Six-Phase Execution Plan</w:t>
      </w:r>
    </w:p>
    <w:p>
      <w:pPr>
        <w:spacing w:after="80" w:before="320"/>
      </w:pPr>
      <w:r>
        <w:rPr>
          <w:b/>
          <w:bCs/>
          <w:caps/>
          <w:color w:val="5B6472"/>
          <w:spacing w:val="12"/>
          <w:sz w:val="18"/>
          <w:szCs w:val="18"/>
        </w:rPr>
        <w:t xml:space="preserve">Phase 1–2</w:t>
      </w:r>
    </w:p>
    <w:p>
      <w:pPr>
        <w:spacing w:after="100"/>
      </w:pPr>
      <w:r>
        <w:rPr>
          <w:b/>
          <w:bCs/>
          <w:color w:val="1A2233"/>
          <w:sz w:val="24"/>
          <w:szCs w:val="24"/>
        </w:rPr>
        <w:t xml:space="preserve">Build the Data Pipeline</w:t>
      </w:r>
    </w:p>
    <w:p>
      <w:pPr>
        <w:spacing w:after="200" w:line="300"/>
      </w:pPr>
      <w:r>
        <w:rPr>
          <w:color w:val="1A2233"/>
          <w:sz w:val="22"/>
          <w:szCs w:val="22"/>
        </w:rPr>
        <w:t xml:space="preserve">src/edge_fault_dx/data/loaders.py and preprocessing.py are currently empty placeholders and are the first real code to write. loaders.py reads the HDF5 file into usable arrays; preprocessing.py performs the per-sensor-channel normalization, Gaussian and impulse noise augmentation, and the time-ordered train / validation / test split that the hypotheses depend on. Everything downstream builds on this, so it comes first.</w:t>
      </w:r>
    </w:p>
    <w:p>
      <w:pPr>
        <w:spacing w:after="80" w:before="320"/>
      </w:pPr>
      <w:r>
        <w:rPr>
          <w:b/>
          <w:bCs/>
          <w:caps/>
          <w:color w:val="5B6472"/>
          <w:spacing w:val="12"/>
          <w:sz w:val="18"/>
          <w:szCs w:val="18"/>
        </w:rPr>
        <w:t xml:space="preserve">Phase 3</w:t>
      </w:r>
    </w:p>
    <w:p>
      <w:pPr>
        <w:spacing w:after="100"/>
      </w:pPr>
      <w:r>
        <w:rPr>
          <w:b/>
          <w:bCs/>
          <w:color w:val="1A2233"/>
          <w:sz w:val="24"/>
          <w:szCs w:val="24"/>
        </w:rPr>
        <w:t xml:space="preserve">Train the Baseline MA1DCNN</w:t>
      </w:r>
    </w:p>
    <w:p>
      <w:pPr>
        <w:spacing w:after="200" w:line="300"/>
      </w:pPr>
      <w:r>
        <w:rPr>
          <w:color w:val="1A2233"/>
          <w:sz w:val="22"/>
          <w:szCs w:val="22"/>
        </w:rPr>
        <w:t xml:space="preserve">models/ma1dcnn.py needs the actual Multi-Head Attention 1D-CNN architecture implemented, using Wang et al. (2020) as the reference specification. Once that exists, training/train.py trains it on Colab's GPU, and training/optuna_search.py runs the hyperparameter search across learning rate, dropout, batch size, and weight decay. The target for this phase is the 98.16% workstation-accuracy baseline the rest of the thesis is calibrated against.</w:t>
      </w:r>
    </w:p>
    <w:p>
      <w:pPr>
        <w:spacing w:after="80" w:before="320"/>
      </w:pPr>
      <w:r>
        <w:rPr>
          <w:b/>
          <w:bCs/>
          <w:caps/>
          <w:color w:val="5B6472"/>
          <w:spacing w:val="12"/>
          <w:sz w:val="18"/>
          <w:szCs w:val="18"/>
        </w:rPr>
        <w:t xml:space="preserve">Phase 4</w:t>
      </w:r>
    </w:p>
    <w:p>
      <w:pPr>
        <w:spacing w:after="100"/>
      </w:pPr>
      <w:r>
        <w:rPr>
          <w:b/>
          <w:bCs/>
          <w:color w:val="1A2233"/>
          <w:sz w:val="24"/>
          <w:szCs w:val="24"/>
        </w:rPr>
        <w:t xml:space="preserve">Compress the Model</w:t>
      </w:r>
    </w:p>
    <w:p>
      <w:pPr>
        <w:spacing w:after="200" w:line="300"/>
      </w:pPr>
      <w:r>
        <w:rPr>
          <w:color w:val="1A2233"/>
          <w:sz w:val="22"/>
          <w:szCs w:val="22"/>
        </w:rPr>
        <w:t xml:space="preserve">Only once a baseline worth compressing exists: compression/pruning.py applies structured channel pruning (25/50/75% ratios), and compression/quantization.py applies mixed-precision training plus post-training INT8 quantization via TensorRT. Together these turn the baseline MA1DCNN into the Edge-Optimized MA1DCNN (E-O MA1DCNN).</w:t>
      </w:r>
    </w:p>
    <w:p>
      <w:pPr>
        <w:spacing w:after="80" w:before="320"/>
      </w:pPr>
      <w:r>
        <w:rPr>
          <w:b/>
          <w:bCs/>
          <w:caps/>
          <w:color w:val="5B6472"/>
          <w:spacing w:val="12"/>
          <w:sz w:val="18"/>
          <w:szCs w:val="18"/>
        </w:rPr>
        <w:t xml:space="preserve">Phase 5</w:t>
      </w:r>
    </w:p>
    <w:p>
      <w:pPr>
        <w:spacing w:after="100"/>
      </w:pPr>
      <w:r>
        <w:rPr>
          <w:b/>
          <w:bCs/>
          <w:color w:val="1A2233"/>
          <w:sz w:val="24"/>
          <w:szCs w:val="24"/>
        </w:rPr>
        <w:t xml:space="preserve">Evaluate Against the Hypotheses</w:t>
      </w:r>
    </w:p>
    <w:p>
      <w:pPr>
        <w:spacing w:after="200" w:line="300"/>
      </w:pPr>
      <w:r>
        <w:rPr>
          <w:color w:val="1A2233"/>
          <w:sz w:val="22"/>
          <w:szCs w:val="22"/>
        </w:rPr>
        <w:t xml:space="preserve">evaluation/metrics.py and noise_robustness.py test the compressed model against the specific numeric thresholds in docs/praxis/04-hypotheses.md — accuracy within 5% of baseline (≥93.25%), macro-precision, recall, and F1 held within the same band, and degradation behavior under 0/10/20 dB sensor noise. This is the phase where the thesis's claims get tested against real numbers.</w:t>
      </w:r>
    </w:p>
    <w:p>
      <w:pPr>
        <w:spacing w:after="80" w:before="320"/>
      </w:pPr>
      <w:r>
        <w:rPr>
          <w:b/>
          <w:bCs/>
          <w:caps/>
          <w:color w:val="5B6472"/>
          <w:spacing w:val="12"/>
          <w:sz w:val="18"/>
          <w:szCs w:val="18"/>
        </w:rPr>
        <w:t xml:space="preserve">Phase 6</w:t>
      </w:r>
    </w:p>
    <w:p>
      <w:pPr>
        <w:spacing w:after="100"/>
      </w:pPr>
      <w:r>
        <w:rPr>
          <w:b/>
          <w:bCs/>
          <w:color w:val="1A2233"/>
          <w:sz w:val="24"/>
          <w:szCs w:val="24"/>
        </w:rPr>
        <w:t xml:space="preserve">Deploy and Benchmark on Jetson Nano</w:t>
      </w:r>
    </w:p>
    <w:p>
      <w:pPr>
        <w:spacing w:after="200" w:line="300"/>
      </w:pPr>
      <w:r>
        <w:rPr>
          <w:color w:val="1A2233"/>
          <w:sz w:val="22"/>
          <w:szCs w:val="22"/>
        </w:rPr>
        <w:t xml:space="preserve">deployment/export_onnx.py, tensorrt_build.py, and inference_server.py export the compressed model to ONNX, compile it to a TensorRT engine, and wrap it for on-device inference. This phase requires physical hardware — real latency and power-draw numbers can only come from an actual NVIDIA Jetson Nano, not from Colab. If a Jetson Nano has not been acquired yet, this is worth ordering now: it is the only step in this plan with real procurement lead time, and every other phase can proceed in parallel while it arrives.</w:t>
      </w:r>
    </w:p>
    <w:p>
      <w:pPr>
        <w:pStyle w:val="Heading1"/>
        <w:pBdr>
          <w:bottom w:val="single" w:color="C9CDD6" w:sz="6" w:space="6"/>
        </w:pBdr>
        <w:spacing w:after="160" w:before="420"/>
      </w:pPr>
      <w:r>
        <w:rPr>
          <w:b/>
          <w:bCs/>
          <w:color w:val="1A2233"/>
          <w:sz w:val="26"/>
          <w:szCs w:val="26"/>
        </w:rPr>
        <w:t xml:space="preserve">Ongoing Practices</w:t>
      </w:r>
    </w:p>
    <w:p>
      <w:pPr>
        <w:spacing w:after="200" w:line="300"/>
      </w:pPr>
      <w:r>
        <w:rPr>
          <w:color w:val="1A2233"/>
          <w:sz w:val="22"/>
          <w:szCs w:val="22"/>
        </w:rPr>
        <w:t xml:space="preserve">Two habits are worth keeping up throughout, not just at the end. First, commit code to the GitHub repository regularly as it's written, rather than in one large push at the end — this keeps a real history of the project's progress and makes it far easier to recover from a mistake. Second, log real advisor or committee questions into docs/praxis/08-committee-qa-log.md as they come up, so that file stays a living record rather than a snapshot frozen from today.</w:t>
      </w:r>
    </w:p>
    <w:p>
      <w:pPr>
        <w:pStyle w:val="Heading1"/>
        <w:pBdr>
          <w:bottom w:val="single" w:color="C9CDD6" w:sz="6" w:space="6"/>
        </w:pBdr>
        <w:spacing w:after="160" w:before="420"/>
      </w:pPr>
      <w:r>
        <w:rPr>
          <w:b/>
          <w:bCs/>
          <w:color w:val="1A2233"/>
          <w:sz w:val="26"/>
          <w:szCs w:val="26"/>
        </w:rPr>
        <w:t xml:space="preserve">Where to Get Help Next</w:t>
      </w:r>
    </w:p>
    <w:p>
      <w:pPr>
        <w:spacing w:after="200" w:line="300"/>
      </w:pPr>
      <w:r>
        <w:rPr>
          <w:color w:val="1A2233"/>
          <w:sz w:val="22"/>
          <w:szCs w:val="22"/>
        </w:rPr>
        <w:t xml:space="preserve">The two pieces most worth tackling first, once the EDA confirms the data's actual structure, are the data/loaders.py and preprocessing.py implementation, and the MA1DCNN architecture itself in models/ma1dcnn.py. Both are good candidates to work through next, in either order.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2026-08-29T00:18:23.550Z</dcterms:created>
  <dcterms:modified xsi:type="dcterms:W3CDTF">2026-08-29T00:18:23.567Z</dcterms:modified>
</cp:coreProperties>
</file>

<file path=docProps/custom.xml><?xml version="1.0" encoding="utf-8"?>
<Properties xmlns="http://schemas.openxmlformats.org/officeDocument/2006/custom-properties" xmlns:vt="http://schemas.openxmlformats.org/officeDocument/2006/docPropsVTypes"/>
</file>