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5B6472"/>
          <w:spacing w:val="18"/>
          <w:sz w:val="18"/>
          <w:szCs w:val="18"/>
        </w:rPr>
        <w:t xml:space="preserve">PROCESS RECORD</w:t>
      </w:r>
    </w:p>
    <w:p>
      <w:pPr>
        <w:spacing w:after="100"/>
      </w:pPr>
      <w:r>
        <w:rPr>
          <w:b/>
          <w:bCs/>
          <w:color w:val="1A2233"/>
          <w:sz w:val="40"/>
          <w:szCs w:val="40"/>
        </w:rPr>
        <w:t xml:space="preserve">Building the edge-ai-fault-diagnosis-aerospace Repository</w:t>
      </w:r>
    </w:p>
    <w:p>
      <w:pPr>
        <w:pBdr>
          <w:bottom w:val="single" w:color="C9CDD6" w:sz="8" w:space="10"/>
        </w:pBdr>
        <w:spacing w:after="260"/>
      </w:pPr>
      <w:r>
        <w:rPr>
          <w:color w:val="5B6472"/>
          <w:sz w:val="20"/>
          <w:szCs w:val="20"/>
        </w:rPr>
        <w:t xml:space="preserve">Independent Research Project  ·  Isse Odawa  ·  August 26, 2026</w:t>
      </w:r>
    </w:p>
    <w:p>
      <w:pPr>
        <w:pStyle w:val="Heading1"/>
        <w:pBdr>
          <w:bottom w:val="single" w:color="C9CDD6" w:sz="6" w:space="6"/>
        </w:pBdr>
        <w:spacing w:after="160" w:before="420"/>
      </w:pPr>
      <w:r>
        <w:rPr>
          <w:b/>
          <w:bCs/>
          <w:color w:val="1A2233"/>
          <w:sz w:val="26"/>
          <w:szCs w:val="26"/>
        </w:rPr>
        <w:t xml:space="preserve">Purpose</w:t>
      </w:r>
    </w:p>
    <w:p>
      <w:pPr>
        <w:spacing w:after="200" w:line="300"/>
      </w:pPr>
      <w:r>
        <w:rPr>
          <w:color w:val="1A2233"/>
          <w:sz w:val="22"/>
          <w:szCs w:val="22"/>
        </w:rPr>
        <w:t xml:space="preserve">This document records how the edge-ai-fault-diagnosis-aerospace GitHub repository was designed, scaffolded, and published — from the initial review of the underlying research proposal through to the first successful push. It is meant as a reference for repeating the process, extending it to a related project, or simply recalling the reasoning behind a given file or setting.</w:t>
      </w:r>
    </w:p>
    <w:p>
      <w:pPr>
        <w:pStyle w:val="Heading1"/>
        <w:pBdr>
          <w:bottom w:val="single" w:color="C9CDD6" w:sz="6" w:space="6"/>
        </w:pBdr>
        <w:spacing w:after="160" w:before="420"/>
      </w:pPr>
      <w:r>
        <w:rPr>
          <w:b/>
          <w:bCs/>
          <w:color w:val="1A2233"/>
          <w:sz w:val="26"/>
          <w:szCs w:val="26"/>
        </w:rPr>
        <w:t xml:space="preserve">Outcome</w:t>
      </w:r>
    </w:p>
    <w:p>
      <w:pPr>
        <w:spacing w:after="200" w:line="300"/>
      </w:pPr>
      <w:r>
        <w:rPr>
          <w:color w:val="1A2233"/>
          <w:sz w:val="22"/>
          <w:szCs w:val="22"/>
        </w:rPr>
        <w:t xml:space="preserve">The repository is live and public at github.com/iodawa/edge-ai-fault-diagnosis-aerospace. It contains a full working scaffold organized around the six-phase research methodology described in the proposal: nine documentation files under docs/praxis/, a modular src/edge_fault_dx/ Python package, per-experiment YAML configuration files, a Jetson/TensorRT/Docker deployment folder, and a GitHub Actions continuous-integration workflow. The repository's first commit, “Initial repo scaffold,” was pushed and verified in a browser.</w:t>
      </w:r>
    </w:p>
    <w:p>
      <w:pPr>
        <w:pStyle w:val="Heading1"/>
        <w:pBdr>
          <w:bottom w:val="single" w:color="C9CDD6" w:sz="6" w:space="6"/>
        </w:pBdr>
        <w:spacing w:after="160" w:before="420"/>
      </w:pPr>
      <w:r>
        <w:rPr>
          <w:b/>
          <w:bCs/>
          <w:color w:val="1A2233"/>
          <w:sz w:val="26"/>
          <w:szCs w:val="26"/>
        </w:rPr>
        <w:t xml:space="preserve">Process</w:t>
      </w:r>
    </w:p>
    <w:p>
      <w:pPr>
        <w:spacing w:after="80" w:before="320"/>
      </w:pPr>
      <w:r>
        <w:rPr>
          <w:b/>
          <w:bCs/>
          <w:caps/>
          <w:color w:val="5B6472"/>
          <w:spacing w:val="12"/>
          <w:sz w:val="18"/>
          <w:szCs w:val="18"/>
        </w:rPr>
        <w:t xml:space="preserve">Step 1</w:t>
      </w:r>
    </w:p>
    <w:p>
      <w:pPr>
        <w:spacing w:after="100"/>
      </w:pPr>
      <w:r>
        <w:rPr>
          <w:b/>
          <w:bCs/>
          <w:color w:val="1A2233"/>
          <w:sz w:val="24"/>
          <w:szCs w:val="24"/>
        </w:rPr>
        <w:t xml:space="preserve">Reviewed the Source Material</w:t>
      </w:r>
    </w:p>
    <w:p>
      <w:pPr>
        <w:spacing w:after="200" w:line="300"/>
      </w:pPr>
      <w:r>
        <w:rPr>
          <w:color w:val="1A2233"/>
          <w:sz w:val="22"/>
          <w:szCs w:val="22"/>
        </w:rPr>
        <w:t xml:space="preserve">The process began with a full review of the uploaded praxis presentation, extracting its content in its entirety: the problem statement, thesis statement, three research questions, three hypotheses with their testability criteria, a six-source annotated bibliography, the six-phase research methodology, two tracked data sources (NASA N-CMAPSS and a self-generated Jetson-Bench log), and a round of committee questions and responses. This extracted content became the basis for the repository's documentation, rather than placeholder text.</w:t>
      </w:r>
    </w:p>
    <w:p>
      <w:pPr>
        <w:spacing w:after="80" w:before="320"/>
      </w:pPr>
      <w:r>
        <w:rPr>
          <w:b/>
          <w:bCs/>
          <w:caps/>
          <w:color w:val="5B6472"/>
          <w:spacing w:val="12"/>
          <w:sz w:val="18"/>
          <w:szCs w:val="18"/>
        </w:rPr>
        <w:t xml:space="preserve">Step 2</w:t>
      </w:r>
    </w:p>
    <w:p>
      <w:pPr>
        <w:spacing w:after="100"/>
      </w:pPr>
      <w:r>
        <w:rPr>
          <w:b/>
          <w:bCs/>
          <w:color w:val="1A2233"/>
          <w:sz w:val="24"/>
          <w:szCs w:val="24"/>
        </w:rPr>
        <w:t xml:space="preserve">Designed the Repository and Documentation Structure</w:t>
      </w:r>
    </w:p>
    <w:p>
      <w:pPr>
        <w:spacing w:after="200" w:line="300"/>
      </w:pPr>
      <w:r>
        <w:rPr>
          <w:color w:val="1A2233"/>
          <w:sz w:val="22"/>
          <w:szCs w:val="22"/>
        </w:rPr>
        <w:t xml:space="preserve">A directory tree and documentation architecture were designed specifically for this project rather than adapted from a generic template. The design mirrors the research argument itself: a docs/praxis/ folder holding one file per proposal section, alongside a src/edge_fault_dx/ Python package structured around the six research phases (data, models, training, compression, evaluation, deployment), together with per-experiment configs, notebooks, deployment tooling, and a test suite. A companion visual reference page summarizing the structure and the reasoning behind each directory was published alongside it.</w:t>
      </w:r>
    </w:p>
    <w:p>
      <w:pPr>
        <w:spacing w:after="80" w:before="320"/>
      </w:pPr>
      <w:r>
        <w:rPr>
          <w:b/>
          <w:bCs/>
          <w:caps/>
          <w:color w:val="5B6472"/>
          <w:spacing w:val="12"/>
          <w:sz w:val="18"/>
          <w:szCs w:val="18"/>
        </w:rPr>
        <w:t xml:space="preserve">Step 3</w:t>
      </w:r>
    </w:p>
    <w:p>
      <w:pPr>
        <w:spacing w:after="100"/>
      </w:pPr>
      <w:r>
        <w:rPr>
          <w:b/>
          <w:bCs/>
          <w:color w:val="1A2233"/>
          <w:sz w:val="24"/>
          <w:szCs w:val="24"/>
        </w:rPr>
        <w:t xml:space="preserve">Generated the Scaffold</w:t>
      </w:r>
    </w:p>
    <w:p>
      <w:pPr>
        <w:spacing w:after="200" w:line="300"/>
      </w:pPr>
      <w:r>
        <w:rPr>
          <w:color w:val="1A2233"/>
          <w:sz w:val="22"/>
          <w:szCs w:val="22"/>
        </w:rPr>
        <w:t xml:space="preserve">Files matching the designed structure were generated in full: a README with a complete repository map and quickstart instructions; the nine docs/praxis/ files pre-filled with the content extracted in Step 1; a data dictionary, model card, glossary, and architecture document; placeholder Python modules for every pipeline stage; YAML configuration files for the baseline, Optuna search, compression, and Jetson deployment stages; a Dockerfile and docker-compose file; a GitHub Actions CI workflow; and a .gitignore excluding raw data and model artifacts. Every Python file was compiled and every YAML file parsed to confirm validity before delivery, and the packaged archive's integrity was verified.</w:t>
      </w:r>
    </w:p>
    <w:p>
      <w:pPr>
        <w:spacing w:after="80" w:before="320"/>
      </w:pPr>
      <w:r>
        <w:rPr>
          <w:b/>
          <w:bCs/>
          <w:caps/>
          <w:color w:val="5B6472"/>
          <w:spacing w:val="12"/>
          <w:sz w:val="18"/>
          <w:szCs w:val="18"/>
        </w:rPr>
        <w:t xml:space="preserve">Step 4</w:t>
      </w:r>
    </w:p>
    <w:p>
      <w:pPr>
        <w:spacing w:after="100"/>
      </w:pPr>
      <w:r>
        <w:rPr>
          <w:b/>
          <w:bCs/>
          <w:color w:val="1A2233"/>
          <w:sz w:val="24"/>
          <w:szCs w:val="24"/>
        </w:rPr>
        <w:t xml:space="preserve">Rebranded for Independent Research</w:t>
      </w:r>
    </w:p>
    <w:p>
      <w:pPr>
        <w:spacing w:after="200" w:line="300"/>
      </w:pPr>
      <w:r>
        <w:rPr>
          <w:color w:val="1A2233"/>
          <w:sz w:val="22"/>
          <w:szCs w:val="22"/>
        </w:rPr>
        <w:t xml:space="preserve">At the requester's direction, the project was renamed from edge-ai-fault-diagnosis-praxis to edge-ai-fault-diagnosis-aerospace, and language tying the work to a specific academic program was removed throughout. The “SEAS · Praxis” program label became “Independent Research”; the README subtitle and the LICENSE placeholder were rewritten to describe the work as an independent research project rather than a university praxis deliverable, with no institution or committee named.</w:t>
      </w:r>
    </w:p>
    <w:p>
      <w:pPr>
        <w:spacing w:after="80" w:before="320"/>
      </w:pPr>
      <w:r>
        <w:rPr>
          <w:b/>
          <w:bCs/>
          <w:caps/>
          <w:color w:val="5B6472"/>
          <w:spacing w:val="12"/>
          <w:sz w:val="18"/>
          <w:szCs w:val="18"/>
        </w:rPr>
        <w:t xml:space="preserve">Step 5</w:t>
      </w:r>
    </w:p>
    <w:p>
      <w:pPr>
        <w:spacing w:after="100"/>
      </w:pPr>
      <w:r>
        <w:rPr>
          <w:b/>
          <w:bCs/>
          <w:color w:val="1A2233"/>
          <w:sz w:val="24"/>
          <w:szCs w:val="24"/>
        </w:rPr>
        <w:t xml:space="preserve">Created the GitHub Repository</w:t>
      </w:r>
    </w:p>
    <w:p>
      <w:pPr>
        <w:spacing w:after="200" w:line="300"/>
      </w:pPr>
      <w:r>
        <w:rPr>
          <w:color w:val="1A2233"/>
          <w:sz w:val="22"/>
          <w:szCs w:val="22"/>
        </w:rPr>
        <w:t xml:space="preserve">An empty repository named edge-ai-fault-diagnosis-aerospace was created on GitHub under the iodawa account, set to Public visibility. The “Add README,” “Add .gitignore,” and “Add license” options were left off, since the local scaffold already supplied its own version of each — enabling any of them would have created an initial commit on GitHub with a separate history from the local scaffold, which git would then refuse to merge automatically on push.</w:t>
      </w:r>
    </w:p>
    <w:p>
      <w:pPr>
        <w:spacing w:after="80" w:before="320"/>
      </w:pPr>
      <w:r>
        <w:rPr>
          <w:b/>
          <w:bCs/>
          <w:caps/>
          <w:color w:val="5B6472"/>
          <w:spacing w:val="12"/>
          <w:sz w:val="18"/>
          <w:szCs w:val="18"/>
        </w:rPr>
        <w:t xml:space="preserve">Step 6</w:t>
      </w:r>
    </w:p>
    <w:p>
      <w:pPr>
        <w:spacing w:after="100"/>
      </w:pPr>
      <w:r>
        <w:rPr>
          <w:b/>
          <w:bCs/>
          <w:color w:val="1A2233"/>
          <w:sz w:val="24"/>
          <w:szCs w:val="24"/>
        </w:rPr>
        <w:t xml:space="preserve">Unzipped the Scaffold Locally</w:t>
      </w:r>
    </w:p>
    <w:p>
      <w:pPr>
        <w:spacing w:after="200" w:line="300"/>
      </w:pPr>
      <w:r>
        <w:rPr>
          <w:color w:val="1A2233"/>
          <w:sz w:val="22"/>
          <w:szCs w:val="22"/>
        </w:rPr>
        <w:t xml:space="preserve">The scaffold was downloaded as a zip archive and extracted to a local folder on the requester's Windows machine, at:</w:t>
      </w:r>
    </w:p>
    <w:p>
      <w:pPr>
        <w:pBdr>
          <w:top w:val="single" w:color="D7DAE2" w:sz="4"/>
          <w:bottom w:val="single" w:color="D7DAE2" w:sz="4"/>
          <w:left w:val="single" w:color="D7DAE2" w:sz="4"/>
          <w:right w:val="single" w:color="D7DAE2" w:sz="4"/>
        </w:pBdr>
        <w:shd w:fill="F2F3F6" w:color="auto" w:val="clear"/>
        <w:spacing w:after="240" w:before="120"/>
        <w:ind w:left="200" w:right="200"/>
      </w:pPr>
      <w:r>
        <w:rPr>
          <w:rFonts w:ascii="Consolas" w:cs="Consolas" w:eastAsia="Consolas" w:hAnsi="Consolas"/>
          <w:color w:val="1A2233"/>
          <w:sz w:val="19"/>
          <w:szCs w:val="19"/>
        </w:rPr>
        <w:t xml:space="preserve">C:\Users\eodaw\Documents\GIT_HUB_PRAXIS\edge-ai-fault-diagnosis-aerospace</w:t>
      </w:r>
    </w:p>
    <w:p>
      <w:pPr>
        <w:spacing w:after="200" w:line="300"/>
      </w:pPr>
      <w:r>
        <w:rPr>
          <w:color w:val="1A2233"/>
          <w:sz w:val="22"/>
          <w:szCs w:val="22"/>
        </w:rPr>
        <w:t xml:space="preserve">Because the archive's contents sit at the root of the zip rather than nested inside a subfolder, extracting it placed the full file set directly into that folder — no additional restructuring was required.</w:t>
      </w:r>
    </w:p>
    <w:p>
      <w:pPr>
        <w:spacing w:after="80" w:before="320"/>
      </w:pPr>
      <w:r>
        <w:rPr>
          <w:b/>
          <w:bCs/>
          <w:caps/>
          <w:color w:val="5B6472"/>
          <w:spacing w:val="12"/>
          <w:sz w:val="18"/>
          <w:szCs w:val="18"/>
        </w:rPr>
        <w:t xml:space="preserve">Step 7</w:t>
      </w:r>
    </w:p>
    <w:p>
      <w:pPr>
        <w:spacing w:after="100"/>
      </w:pPr>
      <w:r>
        <w:rPr>
          <w:b/>
          <w:bCs/>
          <w:color w:val="1A2233"/>
          <w:sz w:val="24"/>
          <w:szCs w:val="24"/>
        </w:rPr>
        <w:t xml:space="preserve">Initialized Git and Connected the Remote</w:t>
      </w:r>
    </w:p>
    <w:p>
      <w:pPr>
        <w:spacing w:after="200" w:line="300"/>
      </w:pPr>
      <w:r>
        <w:rPr>
          <w:color w:val="1A2233"/>
          <w:sz w:val="22"/>
          <w:szCs w:val="22"/>
        </w:rPr>
        <w:t xml:space="preserve">From a Command Prompt window opened directly in that folder, the local files were turned into a git repository, committed, and pointed at the GitHub remote created in Step 5:</w:t>
      </w:r>
    </w:p>
    <w:p>
      <w:pPr>
        <w:pBdr>
          <w:top w:val="single" w:color="D7DAE2" w:sz="4"/>
          <w:bottom w:val="single" w:color="D7DAE2" w:sz="4"/>
          <w:left w:val="single" w:color="D7DAE2" w:sz="4"/>
          <w:right w:val="single" w:color="D7DAE2" w:sz="4"/>
        </w:pBdr>
        <w:shd w:fill="F2F3F6" w:color="auto" w:val="clear"/>
        <w:spacing w:after="240" w:before="120"/>
        <w:ind w:left="200" w:right="200"/>
      </w:pPr>
      <w:r>
        <w:rPr>
          <w:rFonts w:ascii="Consolas" w:cs="Consolas" w:eastAsia="Consolas" w:hAnsi="Consolas"/>
          <w:color w:val="1A2233"/>
          <w:sz w:val="19"/>
          <w:szCs w:val="19"/>
        </w:rPr>
        <w:t xml:space="preserve">git init</w:t>
      </w:r>
      <w:r>
        <w:rPr>
          <w:rFonts w:ascii="Consolas" w:cs="Consolas" w:eastAsia="Consolas" w:hAnsi="Consolas"/>
          <w:color w:val="1A2233"/>
          <w:sz w:val="19"/>
          <w:szCs w:val="19"/>
        </w:rPr>
        <w:br/>
        <w:t xml:space="preserve">git add .</w:t>
      </w:r>
      <w:r>
        <w:rPr>
          <w:rFonts w:ascii="Consolas" w:cs="Consolas" w:eastAsia="Consolas" w:hAnsi="Consolas"/>
          <w:color w:val="1A2233"/>
          <w:sz w:val="19"/>
          <w:szCs w:val="19"/>
        </w:rPr>
        <w:br/>
        <w:t xml:space="preserve">git commit -m "Initial repo scaffold"</w:t>
      </w:r>
      <w:r>
        <w:rPr>
          <w:rFonts w:ascii="Consolas" w:cs="Consolas" w:eastAsia="Consolas" w:hAnsi="Consolas"/>
          <w:color w:val="1A2233"/>
          <w:sz w:val="19"/>
          <w:szCs w:val="19"/>
        </w:rPr>
        <w:br/>
        <w:t xml:space="preserve">git branch -M main</w:t>
      </w:r>
      <w:r>
        <w:rPr>
          <w:rFonts w:ascii="Consolas" w:cs="Consolas" w:eastAsia="Consolas" w:hAnsi="Consolas"/>
          <w:color w:val="1A2233"/>
          <w:sz w:val="19"/>
          <w:szCs w:val="19"/>
        </w:rPr>
        <w:br/>
        <w:t xml:space="preserve">git remote add origin https://github.com/iodawa/edge-ai-fault-diagnosis-aerospace.git</w:t>
      </w:r>
    </w:p>
    <w:p>
      <w:pPr>
        <w:spacing w:after="80" w:before="320"/>
      </w:pPr>
      <w:r>
        <w:rPr>
          <w:b/>
          <w:bCs/>
          <w:caps/>
          <w:color w:val="5B6472"/>
          <w:spacing w:val="12"/>
          <w:sz w:val="18"/>
          <w:szCs w:val="18"/>
        </w:rPr>
        <w:t xml:space="preserve">Step 8</w:t>
      </w:r>
    </w:p>
    <w:p>
      <w:pPr>
        <w:spacing w:after="100"/>
      </w:pPr>
      <w:r>
        <w:rPr>
          <w:b/>
          <w:bCs/>
          <w:color w:val="1A2233"/>
          <w:sz w:val="24"/>
          <w:szCs w:val="24"/>
        </w:rPr>
        <w:t xml:space="preserve">Authenticated with a Personal Access Token</w:t>
      </w:r>
    </w:p>
    <w:p>
      <w:pPr>
        <w:spacing w:after="200" w:line="300"/>
      </w:pPr>
      <w:r>
        <w:rPr>
          <w:color w:val="1A2233"/>
          <w:sz w:val="22"/>
          <w:szCs w:val="22"/>
        </w:rPr>
        <w:t xml:space="preserve">GitHub no longer accepts an account password for command-line git operations. A Personal Access Token (classic, with the repo scope) was generated under GitHub → profile photo → Settings → Developer settings → Personal access tokens, to be entered as the password when the push step below prompted for credentials.</w:t>
      </w:r>
    </w:p>
    <w:p>
      <w:pPr>
        <w:spacing w:after="80" w:before="320"/>
      </w:pPr>
      <w:r>
        <w:rPr>
          <w:b/>
          <w:bCs/>
          <w:caps/>
          <w:color w:val="5B6472"/>
          <w:spacing w:val="12"/>
          <w:sz w:val="18"/>
          <w:szCs w:val="18"/>
        </w:rPr>
        <w:t xml:space="preserve">Step 9</w:t>
      </w:r>
    </w:p>
    <w:p>
      <w:pPr>
        <w:spacing w:after="100"/>
      </w:pPr>
      <w:r>
        <w:rPr>
          <w:b/>
          <w:bCs/>
          <w:color w:val="1A2233"/>
          <w:sz w:val="24"/>
          <w:szCs w:val="24"/>
        </w:rPr>
        <w:t xml:space="preserve">Pushed to GitHub</w:t>
      </w:r>
    </w:p>
    <w:p>
      <w:pPr>
        <w:pBdr>
          <w:top w:val="single" w:color="D7DAE2" w:sz="4"/>
          <w:bottom w:val="single" w:color="D7DAE2" w:sz="4"/>
          <w:left w:val="single" w:color="D7DAE2" w:sz="4"/>
          <w:right w:val="single" w:color="D7DAE2" w:sz="4"/>
        </w:pBdr>
        <w:shd w:fill="F2F3F6" w:color="auto" w:val="clear"/>
        <w:spacing w:after="240" w:before="120"/>
        <w:ind w:left="200" w:right="200"/>
      </w:pPr>
      <w:r>
        <w:rPr>
          <w:rFonts w:ascii="Consolas" w:cs="Consolas" w:eastAsia="Consolas" w:hAnsi="Consolas"/>
          <w:color w:val="1A2233"/>
          <w:sz w:val="19"/>
          <w:szCs w:val="19"/>
        </w:rPr>
        <w:t xml:space="preserve">git push -u origin main</w:t>
      </w:r>
    </w:p>
    <w:p>
      <w:pPr>
        <w:spacing w:after="200" w:line="300"/>
      </w:pPr>
      <w:r>
        <w:rPr>
          <w:color w:val="1A2233"/>
          <w:sz w:val="22"/>
          <w:szCs w:val="22"/>
        </w:rPr>
        <w:t xml:space="preserve">The push completed successfully: 75 objects were enumerated, counted, and written, deltas were resolved, and the local main branch was set up to track origin/main. The repository was confirmed live by loading github.com/iodawa/edge-ai-fault-diagnosis-aerospace in a browser and visually verifying the full directory listing against the designed structure.</w:t>
      </w:r>
    </w:p>
    <w:p>
      <w:pPr>
        <w:pStyle w:val="Heading1"/>
        <w:pBdr>
          <w:bottom w:val="single" w:color="C9CDD6" w:sz="6" w:space="6"/>
        </w:pBdr>
        <w:spacing w:after="160" w:before="420"/>
      </w:pPr>
      <w:r>
        <w:rPr>
          <w:b/>
          <w:bCs/>
          <w:color w:val="1A2233"/>
          <w:sz w:val="26"/>
          <w:szCs w:val="26"/>
        </w:rPr>
        <w:t xml:space="preserve">Repository Structure Reference</w:t>
      </w:r>
    </w:p>
    <w:p>
      <w:pPr>
        <w:spacing w:after="200" w:line="300"/>
      </w:pPr>
      <w:r>
        <w:rPr>
          <w:color w:val="1A2233"/>
          <w:sz w:val="22"/>
          <w:szCs w:val="22"/>
        </w:rPr>
        <w:t xml:space="preserve">The table below summarizes what each top-level directory holds, matching what now appears in the live repository.</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600"/>
        <w:gridCol w:w="7300"/>
      </w:tblGrid>
      <w:tr>
        <w:trPr>
          <w:tblHeader/>
        </w:trPr>
        <w:tc>
          <w:tcPr>
            <w:tcW w:type="dxa" w:w="2600"/>
            <w:shd w:fill="E9EBF1" w:color="auto" w:val="clear"/>
            <w:tcMar>
              <w:top w:type="dxa" w:w="100"/>
              <w:left w:type="dxa" w:w="120"/>
              <w:bottom w:type="dxa" w:w="100"/>
              <w:right w:type="dxa" w:w="120"/>
            </w:tcMar>
          </w:tcPr>
          <w:p>
            <w:r>
              <w:rPr>
                <w:b/>
                <w:bCs/>
                <w:color w:val="1A2233"/>
                <w:sz w:val="19"/>
                <w:szCs w:val="19"/>
              </w:rPr>
              <w:t xml:space="preserve">Directory</w:t>
            </w:r>
          </w:p>
        </w:tc>
        <w:tc>
          <w:tcPr>
            <w:tcW w:type="dxa" w:w="7300"/>
            <w:shd w:fill="E9EBF1" w:color="auto" w:val="clear"/>
            <w:tcMar>
              <w:top w:type="dxa" w:w="100"/>
              <w:left w:type="dxa" w:w="120"/>
              <w:bottom w:type="dxa" w:w="100"/>
              <w:right w:type="dxa" w:w="120"/>
            </w:tcMar>
          </w:tcPr>
          <w:p>
            <w:r>
              <w:rPr>
                <w:b/>
                <w:bCs/>
                <w:color w:val="1A2233"/>
                <w:sz w:val="19"/>
                <w:szCs w:val="19"/>
              </w:rPr>
              <w:t xml:space="preserve">Contents</w:t>
            </w:r>
          </w:p>
        </w:tc>
      </w:tr>
      <w:tr>
        <w:tc>
          <w:tcPr>
            <w:tcW w:type="dxa" w:w="2600"/>
            <w:tcMar>
              <w:top w:type="dxa" w:w="90"/>
              <w:left w:type="dxa" w:w="120"/>
              <w:bottom w:type="dxa" w:w="90"/>
              <w:right w:type="dxa" w:w="120"/>
            </w:tcMar>
          </w:tcPr>
          <w:p>
            <w:r>
              <w:rPr>
                <w:rFonts w:ascii="Consolas" w:cs="Consolas" w:eastAsia="Consolas" w:hAnsi="Consolas"/>
                <w:color w:val="1A2233"/>
                <w:sz w:val="18"/>
                <w:szCs w:val="18"/>
              </w:rPr>
              <w:t xml:space="preserve">README.md</w:t>
            </w:r>
          </w:p>
        </w:tc>
        <w:tc>
          <w:tcPr>
            <w:tcW w:type="dxa" w:w="7300"/>
            <w:tcMar>
              <w:top w:type="dxa" w:w="90"/>
              <w:left w:type="dxa" w:w="120"/>
              <w:bottom w:type="dxa" w:w="90"/>
              <w:right w:type="dxa" w:w="120"/>
            </w:tcMar>
          </w:tcPr>
          <w:p>
            <w:r>
              <w:rPr>
                <w:color w:val="1A2233"/>
                <w:sz w:val="19"/>
                <w:szCs w:val="19"/>
              </w:rPr>
              <w:t xml:space="preserve">Repository map, quickstart, and the documentation index below.</w:t>
            </w:r>
          </w:p>
        </w:tc>
      </w:tr>
      <w:tr>
        <w:tc>
          <w:tcPr>
            <w:tcW w:type="dxa" w:w="2600"/>
            <w:tcMar>
              <w:top w:type="dxa" w:w="90"/>
              <w:left w:type="dxa" w:w="120"/>
              <w:bottom w:type="dxa" w:w="90"/>
              <w:right w:type="dxa" w:w="120"/>
            </w:tcMar>
          </w:tcPr>
          <w:p>
            <w:r>
              <w:rPr>
                <w:rFonts w:ascii="Consolas" w:cs="Consolas" w:eastAsia="Consolas" w:hAnsi="Consolas"/>
                <w:color w:val="1A2233"/>
                <w:sz w:val="18"/>
                <w:szCs w:val="18"/>
              </w:rPr>
              <w:t xml:space="preserve">LICENSE / CITATION.cff</w:t>
            </w:r>
          </w:p>
        </w:tc>
        <w:tc>
          <w:tcPr>
            <w:tcW w:type="dxa" w:w="7300"/>
            <w:tcMar>
              <w:top w:type="dxa" w:w="90"/>
              <w:left w:type="dxa" w:w="120"/>
              <w:bottom w:type="dxa" w:w="90"/>
              <w:right w:type="dxa" w:w="120"/>
            </w:tcMar>
          </w:tcPr>
          <w:p>
            <w:r>
              <w:rPr>
                <w:color w:val="1A2233"/>
                <w:sz w:val="19"/>
                <w:szCs w:val="19"/>
              </w:rPr>
              <w:t xml:space="preserve">Independent-research placeholder license; citation metadata.</w:t>
            </w:r>
          </w:p>
        </w:tc>
      </w:tr>
      <w:tr>
        <w:tc>
          <w:tcPr>
            <w:tcW w:type="dxa" w:w="2600"/>
            <w:tcMar>
              <w:top w:type="dxa" w:w="90"/>
              <w:left w:type="dxa" w:w="120"/>
              <w:bottom w:type="dxa" w:w="90"/>
              <w:right w:type="dxa" w:w="120"/>
            </w:tcMar>
          </w:tcPr>
          <w:p>
            <w:r>
              <w:rPr>
                <w:rFonts w:ascii="Consolas" w:cs="Consolas" w:eastAsia="Consolas" w:hAnsi="Consolas"/>
                <w:color w:val="1A2233"/>
                <w:sz w:val="18"/>
                <w:szCs w:val="18"/>
              </w:rPr>
              <w:t xml:space="preserve">docs/praxis/</w:t>
            </w:r>
          </w:p>
        </w:tc>
        <w:tc>
          <w:tcPr>
            <w:tcW w:type="dxa" w:w="7300"/>
            <w:tcMar>
              <w:top w:type="dxa" w:w="90"/>
              <w:left w:type="dxa" w:w="120"/>
              <w:bottom w:type="dxa" w:w="90"/>
              <w:right w:type="dxa" w:w="120"/>
            </w:tcMar>
          </w:tcPr>
          <w:p>
            <w:r>
              <w:rPr>
                <w:color w:val="1A2233"/>
                <w:sz w:val="19"/>
                <w:szCs w:val="19"/>
              </w:rPr>
              <w:t xml:space="preserve">One file per proposal section — scope of work, problem statement, thesis, research questions, hypotheses, annotated bibliography, methodology, data sources, and the committee Q&amp;A log.</w:t>
            </w:r>
          </w:p>
        </w:tc>
      </w:tr>
      <w:tr>
        <w:tc>
          <w:tcPr>
            <w:tcW w:type="dxa" w:w="2600"/>
            <w:tcMar>
              <w:top w:type="dxa" w:w="90"/>
              <w:left w:type="dxa" w:w="120"/>
              <w:bottom w:type="dxa" w:w="90"/>
              <w:right w:type="dxa" w:w="120"/>
            </w:tcMar>
          </w:tcPr>
          <w:p>
            <w:r>
              <w:rPr>
                <w:rFonts w:ascii="Consolas" w:cs="Consolas" w:eastAsia="Consolas" w:hAnsi="Consolas"/>
                <w:color w:val="1A2233"/>
                <w:sz w:val="18"/>
                <w:szCs w:val="18"/>
              </w:rPr>
              <w:t xml:space="preserve">docs/</w:t>
            </w:r>
          </w:p>
        </w:tc>
        <w:tc>
          <w:tcPr>
            <w:tcW w:type="dxa" w:w="7300"/>
            <w:tcMar>
              <w:top w:type="dxa" w:w="90"/>
              <w:left w:type="dxa" w:w="120"/>
              <w:bottom w:type="dxa" w:w="90"/>
              <w:right w:type="dxa" w:w="120"/>
            </w:tcMar>
          </w:tcPr>
          <w:p>
            <w:r>
              <w:rPr>
                <w:color w:val="1A2233"/>
                <w:sz w:val="19"/>
                <w:szCs w:val="19"/>
              </w:rPr>
              <w:t xml:space="preserve">Data dictionary, model card, glossary, and the architecture document mapping methodology phases to code.</w:t>
            </w:r>
          </w:p>
        </w:tc>
      </w:tr>
      <w:tr>
        <w:tc>
          <w:tcPr>
            <w:tcW w:type="dxa" w:w="2600"/>
            <w:tcMar>
              <w:top w:type="dxa" w:w="90"/>
              <w:left w:type="dxa" w:w="120"/>
              <w:bottom w:type="dxa" w:w="90"/>
              <w:right w:type="dxa" w:w="120"/>
            </w:tcMar>
          </w:tcPr>
          <w:p>
            <w:r>
              <w:rPr>
                <w:rFonts w:ascii="Consolas" w:cs="Consolas" w:eastAsia="Consolas" w:hAnsi="Consolas"/>
                <w:color w:val="1A2233"/>
                <w:sz w:val="18"/>
                <w:szCs w:val="18"/>
              </w:rPr>
              <w:t xml:space="preserve">data/</w:t>
            </w:r>
          </w:p>
        </w:tc>
        <w:tc>
          <w:tcPr>
            <w:tcW w:type="dxa" w:w="7300"/>
            <w:tcMar>
              <w:top w:type="dxa" w:w="90"/>
              <w:left w:type="dxa" w:w="120"/>
              <w:bottom w:type="dxa" w:w="90"/>
              <w:right w:type="dxa" w:w="120"/>
            </w:tcMar>
          </w:tcPr>
          <w:p>
            <w:r>
              <w:rPr>
                <w:color w:val="1A2233"/>
                <w:sz w:val="19"/>
                <w:szCs w:val="19"/>
              </w:rPr>
              <w:t xml:space="preserve">raw / interim / processed subfolders (gitignored) plus a README describing the NASA N-CMAPSS source and expected layout.</w:t>
            </w:r>
          </w:p>
        </w:tc>
      </w:tr>
      <w:tr>
        <w:tc>
          <w:tcPr>
            <w:tcW w:type="dxa" w:w="2600"/>
            <w:tcMar>
              <w:top w:type="dxa" w:w="90"/>
              <w:left w:type="dxa" w:w="120"/>
              <w:bottom w:type="dxa" w:w="90"/>
              <w:right w:type="dxa" w:w="120"/>
            </w:tcMar>
          </w:tcPr>
          <w:p>
            <w:r>
              <w:rPr>
                <w:rFonts w:ascii="Consolas" w:cs="Consolas" w:eastAsia="Consolas" w:hAnsi="Consolas"/>
                <w:color w:val="1A2233"/>
                <w:sz w:val="18"/>
                <w:szCs w:val="18"/>
              </w:rPr>
              <w:t xml:space="preserve">notebooks/</w:t>
            </w:r>
          </w:p>
        </w:tc>
        <w:tc>
          <w:tcPr>
            <w:tcW w:type="dxa" w:w="7300"/>
            <w:tcMar>
              <w:top w:type="dxa" w:w="90"/>
              <w:left w:type="dxa" w:w="120"/>
              <w:bottom w:type="dxa" w:w="90"/>
              <w:right w:type="dxa" w:w="120"/>
            </w:tcMar>
          </w:tcPr>
          <w:p>
            <w:r>
              <w:rPr>
                <w:color w:val="1A2233"/>
                <w:sz w:val="19"/>
                <w:szCs w:val="19"/>
              </w:rPr>
              <w:t xml:space="preserve">Exploratory notebooks numbered to match the six research phases.</w:t>
            </w:r>
          </w:p>
        </w:tc>
      </w:tr>
      <w:tr>
        <w:tc>
          <w:tcPr>
            <w:tcW w:type="dxa" w:w="2600"/>
            <w:tcMar>
              <w:top w:type="dxa" w:w="90"/>
              <w:left w:type="dxa" w:w="120"/>
              <w:bottom w:type="dxa" w:w="90"/>
              <w:right w:type="dxa" w:w="120"/>
            </w:tcMar>
          </w:tcPr>
          <w:p>
            <w:r>
              <w:rPr>
                <w:rFonts w:ascii="Consolas" w:cs="Consolas" w:eastAsia="Consolas" w:hAnsi="Consolas"/>
                <w:color w:val="1A2233"/>
                <w:sz w:val="18"/>
                <w:szCs w:val="18"/>
              </w:rPr>
              <w:t xml:space="preserve">src/edge_fault_dx/</w:t>
            </w:r>
          </w:p>
        </w:tc>
        <w:tc>
          <w:tcPr>
            <w:tcW w:type="dxa" w:w="7300"/>
            <w:tcMar>
              <w:top w:type="dxa" w:w="90"/>
              <w:left w:type="dxa" w:w="120"/>
              <w:bottom w:type="dxa" w:w="90"/>
              <w:right w:type="dxa" w:w="120"/>
            </w:tcMar>
          </w:tcPr>
          <w:p>
            <w:r>
              <w:rPr>
                <w:color w:val="1A2233"/>
                <w:sz w:val="19"/>
                <w:szCs w:val="19"/>
              </w:rPr>
              <w:t xml:space="preserve">The importable Python package: data, models, training, compression, evaluation, and deployment modules.</w:t>
            </w:r>
          </w:p>
        </w:tc>
      </w:tr>
      <w:tr>
        <w:tc>
          <w:tcPr>
            <w:tcW w:type="dxa" w:w="2600"/>
            <w:tcMar>
              <w:top w:type="dxa" w:w="90"/>
              <w:left w:type="dxa" w:w="120"/>
              <w:bottom w:type="dxa" w:w="90"/>
              <w:right w:type="dxa" w:w="120"/>
            </w:tcMar>
          </w:tcPr>
          <w:p>
            <w:r>
              <w:rPr>
                <w:rFonts w:ascii="Consolas" w:cs="Consolas" w:eastAsia="Consolas" w:hAnsi="Consolas"/>
                <w:color w:val="1A2233"/>
                <w:sz w:val="18"/>
                <w:szCs w:val="18"/>
              </w:rPr>
              <w:t xml:space="preserve">configs/</w:t>
            </w:r>
          </w:p>
        </w:tc>
        <w:tc>
          <w:tcPr>
            <w:tcW w:type="dxa" w:w="7300"/>
            <w:tcMar>
              <w:top w:type="dxa" w:w="90"/>
              <w:left w:type="dxa" w:w="120"/>
              <w:bottom w:type="dxa" w:w="90"/>
              <w:right w:type="dxa" w:w="120"/>
            </w:tcMar>
          </w:tcPr>
          <w:p>
            <w:r>
              <w:rPr>
                <w:color w:val="1A2233"/>
                <w:sz w:val="19"/>
                <w:szCs w:val="19"/>
              </w:rPr>
              <w:t xml:space="preserve">One YAML file per experiment stage — baseline, Optuna search, compression, Jetson deployment.</w:t>
            </w:r>
          </w:p>
        </w:tc>
      </w:tr>
      <w:tr>
        <w:tc>
          <w:tcPr>
            <w:tcW w:type="dxa" w:w="2600"/>
            <w:tcMar>
              <w:top w:type="dxa" w:w="90"/>
              <w:left w:type="dxa" w:w="120"/>
              <w:bottom w:type="dxa" w:w="90"/>
              <w:right w:type="dxa" w:w="120"/>
            </w:tcMar>
          </w:tcPr>
          <w:p>
            <w:r>
              <w:rPr>
                <w:rFonts w:ascii="Consolas" w:cs="Consolas" w:eastAsia="Consolas" w:hAnsi="Consolas"/>
                <w:color w:val="1A2233"/>
                <w:sz w:val="18"/>
                <w:szCs w:val="18"/>
              </w:rPr>
              <w:t xml:space="preserve">scripts/</w:t>
            </w:r>
          </w:p>
        </w:tc>
        <w:tc>
          <w:tcPr>
            <w:tcW w:type="dxa" w:w="7300"/>
            <w:tcMar>
              <w:top w:type="dxa" w:w="90"/>
              <w:left w:type="dxa" w:w="120"/>
              <w:bottom w:type="dxa" w:w="90"/>
              <w:right w:type="dxa" w:w="120"/>
            </w:tcMar>
          </w:tcPr>
          <w:p>
            <w:r>
              <w:rPr>
                <w:color w:val="1A2233"/>
                <w:sz w:val="19"/>
                <w:szCs w:val="19"/>
              </w:rPr>
              <w:t xml:space="preserve">Thin CLI entry points wiring a config to the corresponding src/ module.</w:t>
            </w:r>
          </w:p>
        </w:tc>
      </w:tr>
      <w:tr>
        <w:tc>
          <w:tcPr>
            <w:tcW w:type="dxa" w:w="2600"/>
            <w:tcMar>
              <w:top w:type="dxa" w:w="90"/>
              <w:left w:type="dxa" w:w="120"/>
              <w:bottom w:type="dxa" w:w="90"/>
              <w:right w:type="dxa" w:w="120"/>
            </w:tcMar>
          </w:tcPr>
          <w:p>
            <w:r>
              <w:rPr>
                <w:rFonts w:ascii="Consolas" w:cs="Consolas" w:eastAsia="Consolas" w:hAnsi="Consolas"/>
                <w:color w:val="1A2233"/>
                <w:sz w:val="18"/>
                <w:szCs w:val="18"/>
              </w:rPr>
              <w:t xml:space="preserve">deployment/</w:t>
            </w:r>
          </w:p>
        </w:tc>
        <w:tc>
          <w:tcPr>
            <w:tcW w:type="dxa" w:w="7300"/>
            <w:tcMar>
              <w:top w:type="dxa" w:w="90"/>
              <w:left w:type="dxa" w:w="120"/>
              <w:bottom w:type="dxa" w:w="90"/>
              <w:right w:type="dxa" w:w="120"/>
            </w:tcMar>
          </w:tcPr>
          <w:p>
            <w:r>
              <w:rPr>
                <w:color w:val="1A2233"/>
                <w:sz w:val="19"/>
                <w:szCs w:val="19"/>
              </w:rPr>
              <w:t xml:space="preserve">Dockerfile, docker-compose file, and the Jetson power-logging script.</w:t>
            </w:r>
          </w:p>
        </w:tc>
      </w:tr>
      <w:tr>
        <w:tc>
          <w:tcPr>
            <w:tcW w:type="dxa" w:w="2600"/>
            <w:tcMar>
              <w:top w:type="dxa" w:w="90"/>
              <w:left w:type="dxa" w:w="120"/>
              <w:bottom w:type="dxa" w:w="90"/>
              <w:right w:type="dxa" w:w="120"/>
            </w:tcMar>
          </w:tcPr>
          <w:p>
            <w:r>
              <w:rPr>
                <w:rFonts w:ascii="Consolas" w:cs="Consolas" w:eastAsia="Consolas" w:hAnsi="Consolas"/>
                <w:color w:val="1A2233"/>
                <w:sz w:val="18"/>
                <w:szCs w:val="18"/>
              </w:rPr>
              <w:t xml:space="preserve">results/</w:t>
            </w:r>
          </w:p>
        </w:tc>
        <w:tc>
          <w:tcPr>
            <w:tcW w:type="dxa" w:w="7300"/>
            <w:tcMar>
              <w:top w:type="dxa" w:w="90"/>
              <w:left w:type="dxa" w:w="120"/>
              <w:bottom w:type="dxa" w:w="90"/>
              <w:right w:type="dxa" w:w="120"/>
            </w:tcMar>
          </w:tcPr>
          <w:p>
            <w:r>
              <w:rPr>
                <w:color w:val="1A2233"/>
                <w:sz w:val="19"/>
                <w:szCs w:val="19"/>
              </w:rPr>
              <w:t xml:space="preserve">Generated figures, tables, and report deliverables (bulk output gitignored).</w:t>
            </w:r>
          </w:p>
        </w:tc>
      </w:tr>
      <w:tr>
        <w:tc>
          <w:tcPr>
            <w:tcW w:type="dxa" w:w="2600"/>
            <w:tcMar>
              <w:top w:type="dxa" w:w="90"/>
              <w:left w:type="dxa" w:w="120"/>
              <w:bottom w:type="dxa" w:w="90"/>
              <w:right w:type="dxa" w:w="120"/>
            </w:tcMar>
          </w:tcPr>
          <w:p>
            <w:r>
              <w:rPr>
                <w:rFonts w:ascii="Consolas" w:cs="Consolas" w:eastAsia="Consolas" w:hAnsi="Consolas"/>
                <w:color w:val="1A2233"/>
                <w:sz w:val="18"/>
                <w:szCs w:val="18"/>
              </w:rPr>
              <w:t xml:space="preserve">tests/</w:t>
            </w:r>
          </w:p>
        </w:tc>
        <w:tc>
          <w:tcPr>
            <w:tcW w:type="dxa" w:w="7300"/>
            <w:tcMar>
              <w:top w:type="dxa" w:w="90"/>
              <w:left w:type="dxa" w:w="120"/>
              <w:bottom w:type="dxa" w:w="90"/>
              <w:right w:type="dxa" w:w="120"/>
            </w:tcMar>
          </w:tcPr>
          <w:p>
            <w:r>
              <w:rPr>
                <w:color w:val="1A2233"/>
                <w:sz w:val="19"/>
                <w:szCs w:val="19"/>
              </w:rPr>
              <w:t xml:space="preserve">Unit tests for the data, model, and metric modules.</w:t>
            </w:r>
          </w:p>
        </w:tc>
      </w:tr>
      <w:tr>
        <w:tc>
          <w:tcPr>
            <w:tcW w:type="dxa" w:w="2600"/>
            <w:tcMar>
              <w:top w:type="dxa" w:w="90"/>
              <w:left w:type="dxa" w:w="120"/>
              <w:bottom w:type="dxa" w:w="90"/>
              <w:right w:type="dxa" w:w="120"/>
            </w:tcMar>
          </w:tcPr>
          <w:p>
            <w:r>
              <w:rPr>
                <w:rFonts w:ascii="Consolas" w:cs="Consolas" w:eastAsia="Consolas" w:hAnsi="Consolas"/>
                <w:color w:val="1A2233"/>
                <w:sz w:val="18"/>
                <w:szCs w:val="18"/>
              </w:rPr>
              <w:t xml:space="preserve">.github/workflows/</w:t>
            </w:r>
          </w:p>
        </w:tc>
        <w:tc>
          <w:tcPr>
            <w:tcW w:type="dxa" w:w="7300"/>
            <w:tcMar>
              <w:top w:type="dxa" w:w="90"/>
              <w:left w:type="dxa" w:w="120"/>
              <w:bottom w:type="dxa" w:w="90"/>
              <w:right w:type="dxa" w:w="120"/>
            </w:tcMar>
          </w:tcPr>
          <w:p>
            <w:r>
              <w:rPr>
                <w:color w:val="1A2233"/>
                <w:sz w:val="19"/>
                <w:szCs w:val="19"/>
              </w:rPr>
              <w:t xml:space="preserve">CI workflow running lint and pytest on every push.</w:t>
            </w:r>
          </w:p>
        </w:tc>
      </w:tr>
    </w:tbl>
    <w:p>
      <w:pPr>
        <w:pStyle w:val="Heading1"/>
        <w:pBdr>
          <w:bottom w:val="single" w:color="C9CDD6" w:sz="6" w:space="6"/>
        </w:pBdr>
        <w:spacing w:after="160" w:before="420"/>
      </w:pPr>
      <w:r>
        <w:rPr>
          <w:b/>
          <w:bCs/>
          <w:color w:val="1A2233"/>
          <w:sz w:val="26"/>
          <w:szCs w:val="26"/>
        </w:rPr>
        <w:t xml:space="preserve">Next Steps</w:t>
      </w:r>
    </w:p>
    <w:p>
      <w:pPr>
        <w:spacing w:after="200" w:line="300"/>
      </w:pPr>
      <w:r>
        <w:rPr>
          <w:color w:val="1A2233"/>
          <w:sz w:val="22"/>
          <w:szCs w:val="22"/>
        </w:rPr>
        <w:t xml:space="preserve">A few items remain open now that the repository is live. The nine files under docs/praxis/ are worth a full read-through, since they will be the canonical, citable record of the proposal going forward. The repository's About panel on GitHub currently has no description or topics set, and is worth filling in. Actual implementation work can begin by following data/README.md to obtain the NASA N-CMAPSS dataset, and docs/architecture.md to see which src/edge_fault_dx/ module corresponds to each of the six research phases.</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2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2026-08-26T05:00:33.287Z</dcterms:created>
  <dcterms:modified xsi:type="dcterms:W3CDTF">2026-08-26T05:00:33.300Z</dcterms:modified>
</cp:coreProperties>
</file>

<file path=docProps/custom.xml><?xml version="1.0" encoding="utf-8"?>
<Properties xmlns="http://schemas.openxmlformats.org/officeDocument/2006/custom-properties" xmlns:vt="http://schemas.openxmlformats.org/officeDocument/2006/docPropsVTypes"/>
</file>