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472"/>
          <w:spacing w:val="18"/>
          <w:sz w:val="18"/>
          <w:szCs w:val="18"/>
        </w:rPr>
        <w:t xml:space="preserve">DECISION RECORD</w:t>
      </w:r>
    </w:p>
    <w:p>
      <w:pPr>
        <w:spacing w:after="100"/>
      </w:pPr>
      <w:r>
        <w:rPr>
          <w:b/>
          <w:bCs/>
          <w:color w:val="1A2233"/>
          <w:sz w:val="32"/>
          <w:szCs w:val="32"/>
        </w:rPr>
        <w:t xml:space="preserve">Adopting a Component-Based Multi-Label Fault Scheme</w:t>
      </w:r>
    </w:p>
    <w:p>
      <w:pPr>
        <w:pBdr>
          <w:bottom w:val="single" w:color="C9CDD6" w:sz="8" w:space="10"/>
        </w:pBdr>
        <w:spacing w:after="260"/>
      </w:pPr>
      <w:r>
        <w:rPr>
          <w:color w:val="5B6472"/>
          <w:sz w:val="20"/>
          <w:szCs w:val="20"/>
        </w:rPr>
        <w:t xml:space="preserve">edge-ai-fault-diagnosis-aerospace  ·  Independent Research Project  ·  Isse Odawa  ·  August 30, 2026</w:t>
      </w:r>
    </w:p>
    <w:p>
      <w:pPr>
        <w:pStyle w:val="Heading1"/>
        <w:pBdr>
          <w:bottom w:val="single" w:color="C9CDD6" w:sz="6" w:space="6"/>
        </w:pBdr>
        <w:spacing w:after="160" w:before="420"/>
      </w:pPr>
      <w:r>
        <w:rPr>
          <w:b/>
          <w:bCs/>
          <w:color w:val="1A2233"/>
          <w:sz w:val="26"/>
          <w:szCs w:val="26"/>
        </w:rPr>
        <w:t xml:space="preserve">The Decision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The project's labeling design is changing to match the approach used in Akindoju (2025) — the closest available prior work, using the same MA1DCNN architecture on the same N-CMAPSS dataset, and the direct source of the 98.16% workstation-accuracy baseline this praxis targets. Rather than the earlier plan (three combined files, a single class ID per row, healthy pooled across files), the project now adopts Akindoju's documented approach: all eight N-CMAPSS sub-datasets combined, with genuine multi-label, per-component fault flags derived from a fault-code-to-component mapping table and an RUL-based failure threshold.</w:t>
      </w:r>
    </w:p>
    <w:p>
      <w:pPr>
        <w:pStyle w:val="Heading1"/>
        <w:pBdr>
          <w:bottom w:val="single" w:color="C9CDD6" w:sz="6" w:space="6"/>
        </w:pBdr>
        <w:spacing w:after="160" w:before="420"/>
      </w:pPr>
      <w:r>
        <w:rPr>
          <w:b/>
          <w:bCs/>
          <w:color w:val="1A2233"/>
          <w:sz w:val="26"/>
          <w:szCs w:val="26"/>
        </w:rPr>
        <w:t xml:space="preserve">What's Changing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50"/>
        <w:gridCol w:w="3450"/>
      </w:tblGrid>
      <w:tr>
        <w:trPr>
          <w:tblHeader/>
        </w:trPr>
        <w:tc>
          <w:tcPr>
            <w:shd w:fill="E9EB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2233"/>
                <w:sz w:val="19"/>
                <w:szCs w:val="19"/>
              </w:rPr>
              <w:t xml:space="preserve">Aspect</w:t>
            </w:r>
          </w:p>
        </w:tc>
        <w:tc>
          <w:tcPr>
            <w:shd w:fill="E9EB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2233"/>
                <w:sz w:val="19"/>
                <w:szCs w:val="19"/>
              </w:rPr>
              <w:t xml:space="preserve">Previous plan</w:t>
            </w:r>
          </w:p>
        </w:tc>
        <w:tc>
          <w:tcPr>
            <w:shd w:fill="E9EB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2233"/>
                <w:sz w:val="19"/>
                <w:szCs w:val="19"/>
              </w:rPr>
              <w:t xml:space="preserve">New plan (matches Akindoju, 2025)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Files used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3 of 8 (DS01, DS03, DS08a)</w:t>
            </w:r>
          </w:p>
        </w:tc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All 8 (DS01–DS08c, incl. DS08d — see Open Questions)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Label structure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Single class ID per row (0–3)</w:t>
            </w:r>
          </w:p>
        </w:tc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5 independent binary flags per row: fan_fail, lpc_fail, hpc_fail, hpt_fail, lpt_fail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"Failing" definition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Native hs flag (0/1)</w:t>
            </w:r>
          </w:p>
        </w:tc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Derived: RUL ≤ 30 cycles marks imminent failure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Fault assignment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Whole file → one class ID</w:t>
            </w:r>
          </w:p>
        </w:tc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Documented per-file component mapping (e.g., DS03 → hpt_fail + lpt_fail)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Class imbalance handling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Macro-averaged metrics only</w:t>
            </w:r>
          </w:p>
        </w:tc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SMOTE oversampling + macro-averaged metrics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Approx. engine units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24 (dev split, 3 files)</w:t>
            </w:r>
          </w:p>
        </w:tc>
        <w:tc>
          <w:tcPr>
            <w:tcW w:type="dxa" w:w="34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2233"/>
                <w:sz w:val="19"/>
                <w:szCs w:val="19"/>
              </w:rPr>
              <w:t xml:space="preserve">~90–100 (dev+test, 8 files) — restores alignment with the original proposal's "100 units" language</w:t>
            </w:r>
          </w:p>
        </w:tc>
      </w:tr>
    </w:tbl>
    <w:p>
      <w:pPr>
        <w:pStyle w:val="Heading1"/>
        <w:pBdr>
          <w:bottom w:val="single" w:color="C9CDD6" w:sz="6" w:space="6"/>
        </w:pBdr>
        <w:spacing w:after="160" w:before="420"/>
      </w:pPr>
      <w:r>
        <w:rPr>
          <w:b/>
          <w:bCs/>
          <w:color w:val="1A2233"/>
          <w:sz w:val="26"/>
          <w:szCs w:val="26"/>
        </w:rPr>
        <w:t xml:space="preserve">Advantages of the New Design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Physically meaningful output: a row can correctly show two or more components failing at once (e.g., DS03 → HPT + LPT), matching the praxis's own thesis statement — "identifies which component is failing" — far better than an opaque single class number.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Grounded in a documented precedent rather than an independently constructed scheme: the fault-code-to-component mapping and RUL-based threshold come directly from a defended, closely comparable 2025 GWU praxis, not an ad hoc design built without a specific reference point.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A more apples-to-apples baseline comparison: since Akindoju's 98.16% figure came from training on all eight files with this exact labeling logic, matching that scope makes this praxis's own workstation baseline directly comparable rather than approximate.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Restores alignment with the original proposal's "100 units, 7 failure modes" language — the scope correction made to the documentation earlier this week can now be revised back toward the original framing, this time on solid, verified footing rather than an untested assumption.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Enables richer, more standard multi-label evaluation (Hamming loss, Jaccard index, per-label macro-F1) that maps cleanly onto the macro-precision/recall/F1 metrics already specified in the hypotheses.</w:t>
      </w:r>
    </w:p>
    <w:p>
      <w:pPr>
        <w:pStyle w:val="Heading1"/>
        <w:pBdr>
          <w:bottom w:val="single" w:color="C9CDD6" w:sz="6" w:space="6"/>
        </w:pBdr>
        <w:spacing w:after="160" w:before="420"/>
      </w:pPr>
      <w:r>
        <w:rPr>
          <w:b/>
          <w:bCs/>
          <w:color w:val="1A2233"/>
          <w:sz w:val="26"/>
          <w:szCs w:val="26"/>
        </w:rPr>
        <w:t xml:space="preserve">Impact on the Praxis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H1's accuracy language needs a small clarification: multi-label problems don't have one canonical "accuracy" the way single-label classification does (subset accuracy, per-label accuracy, and Hamming score can all differ). docs/praxis/04-hypotheses.md should specify which one the 93.25% floor applies to.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Novelty framing sharpens further: with the data scope and labeling method now matching Akindoju's, the entire point of differentiation is the algorithm-to-hardware work — compression and physical Jetson Nano deployment — which that prior work never attempts. This should be stated plainly wherever the praxis's contribution is described.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Data volume increases substantially: five additional files join the three already verified, meaningfully raising total training rows and compute/storage needs for later training and augmentation steps.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The earlier "pool healthy across files" reasoning (avoiding shortcut learning) is superseded, not wrong — it was designed for the smaller, file-identity-based scheme. The new per-component flags derived from RUL and a documented mapping don't have the same shortcut-learning risk, since the label no longer depends on which file a row came from in an unexplained way.</w:t>
      </w:r>
    </w:p>
    <w:p>
      <w:pPr>
        <w:pStyle w:val="Heading1"/>
        <w:pBdr>
          <w:bottom w:val="single" w:color="C9CDD6" w:sz="6" w:space="6"/>
        </w:pBdr>
        <w:spacing w:after="160" w:before="420"/>
      </w:pPr>
      <w:r>
        <w:rPr>
          <w:b/>
          <w:bCs/>
          <w:color w:val="1A2233"/>
          <w:sz w:val="26"/>
          <w:szCs w:val="26"/>
        </w:rPr>
        <w:t xml:space="preserve">Repository &amp; Code Update Checklist</w:t>
      </w:r>
    </w:p>
    <w:p>
      <w:pPr>
        <w:spacing w:after="100" w:before="260"/>
      </w:pPr>
      <w:r>
        <w:rPr>
          <w:b/>
          <w:bCs/>
          <w:color w:val="1A2233"/>
          <w:sz w:val="23"/>
          <w:szCs w:val="23"/>
        </w:rPr>
        <w:t xml:space="preserve">1. Data Acquisition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Check whether the Colab runtime from the last session is still alive (!ls ncmapss_extracted/data_set/data_set/); if not, re-run the wget + both unzip steps.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Copy the five remaining files into Drive: N-CMAPSS_DS02-006.h5, DS04.h5, DS05.h5, DS06.h5, DS07.h5, and DS08c-008.h5 (six files, not five — see Open Questions on DS08d).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Update notebooks/Uploaded_NCMAPSS_dataset_to_google_drive.ipynb with the additional cp commands and re-push to GitHub.</w:t>
      </w:r>
    </w:p>
    <w:p>
      <w:pPr>
        <w:spacing w:after="100" w:before="260"/>
      </w:pPr>
      <w:r>
        <w:rPr>
          <w:b/>
          <w:bCs/>
          <w:color w:val="1A2233"/>
          <w:sz w:val="23"/>
          <w:szCs w:val="23"/>
        </w:rPr>
        <w:t xml:space="preserve">2. EDA / Verification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Repeat the h5py key/shape/unit-count check already run for DS01, DS03, and DS08a against each newly copied file, confirming the same column structure holds across all eight.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Decode T_var and X_v_var — still outstanding from the original EDA pass, and now relevant to all eight files rather than three.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Update notebooks/01_eda.ipynb with the new cells and re-push.</w:t>
      </w:r>
    </w:p>
    <w:p>
      <w:pPr>
        <w:spacing w:after="100" w:before="260"/>
      </w:pPr>
      <w:r>
        <w:rPr>
          <w:b/>
          <w:bCs/>
          <w:color w:val="1A2233"/>
          <w:sz w:val="23"/>
          <w:szCs w:val="23"/>
        </w:rPr>
        <w:t xml:space="preserve">3. Documentation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docs/data-dictionary.md: replace the "Files in use" table with all eight files; replace the "Derived training label" section entirely with the fault-code-to-component mapping table and the RUL ≤ 30 threshold logic, in place of the pooled-healthy 4-class scheme.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docs/model-card.md: update "Training data" to reflect 8 files / ~90–100 units / 5-flag multi-label scheme; update the Metrics table to include Hamming loss and Jaccard index alongside macro-precision/recall/F1.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docs/praxis/07-data-sources.md: update the dataset description, the illustrative sample-record layout (five fault-flag columns in place of a single hs column), and the H1 hypothesis-alignment row.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docs/praxis/04-hypotheses.md: add a one-line clarification of which multi-label accuracy definition the 93.25% floor refers to.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docs/praxis/05-annotated-bibliography.md: add the Akindoju (2025) entry already drafted, strengthening the Relevance paragraph to state that this praxis directly adopts its labeling methodology.</w:t>
      </w:r>
    </w:p>
    <w:p>
      <w:pPr>
        <w:spacing w:after="100" w:before="260"/>
      </w:pPr>
      <w:r>
        <w:rPr>
          <w:b/>
          <w:bCs/>
          <w:color w:val="1A2233"/>
          <w:sz w:val="23"/>
          <w:szCs w:val="23"/>
        </w:rPr>
        <w:t xml:space="preserve">4. Future Code (not yet written)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src/edge_fault_dx/data/loaders.py: build the fault-code-to-component mapping dictionary and the RUL ≤ 30 threshold logic; load and concatenate all eight files.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src/edge_fault_dx/data/preprocessing.py: construct the five-column binary label matrix per row instead of a single class-ID column; normalization, augmentation, and the time-ordered split logic are otherwise unaffected.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src/edge_fault_dx/models/ma1dcnn.py: output layer changes from a single softmax over 4 classes to 5 independent sigmoid outputs (standard for multi-label classification), with binary cross-entropy loss per label.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src/edge_fault_dx/evaluation/metrics.py: add Hamming loss and Jaccard index alongside the existing macro-precision/recall/F1 plan.</w:t>
      </w:r>
    </w:p>
    <w:p>
      <w:pPr>
        <w:spacing w:after="100" w:before="260"/>
      </w:pPr>
      <w:r>
        <w:rPr>
          <w:b/>
          <w:bCs/>
          <w:color w:val="1A2233"/>
          <w:sz w:val="23"/>
          <w:szCs w:val="23"/>
        </w:rPr>
        <w:t xml:space="preserve">5. Deliverables Folder</w:t>
      </w:r>
    </w:p>
    <w:p>
      <w:pPr>
        <w:spacing w:after="100" w:line="290"/>
        <w:ind w:left="260"/>
      </w:pPr>
      <w:r>
        <w:rPr>
          <w:b/>
          <w:bCs/>
          <w:color w:val="5B6472"/>
          <w:sz w:val="22"/>
          <w:szCs w:val="22"/>
        </w:rPr>
        <w:t xml:space="preserve">•  </w:t>
      </w:r>
      <w:r>
        <w:rPr>
          <w:color w:val="1A2233"/>
          <w:sz w:val="22"/>
          <w:szCs w:val="22"/>
        </w:rPr>
        <w:t xml:space="preserve">deliverables/multiclass_fault_classification_plan.docx describes the now-superseded 3-file, single-label design. Recommend keeping it in place as a record of the earlier design iteration rather than deleting it, with this document as the current authoritative decision record.</w:t>
      </w:r>
    </w:p>
    <w:p>
      <w:pPr>
        <w:pStyle w:val="Heading1"/>
        <w:pBdr>
          <w:bottom w:val="single" w:color="C9CDD6" w:sz="6" w:space="6"/>
        </w:pBdr>
        <w:spacing w:after="160" w:before="420"/>
      </w:pPr>
      <w:r>
        <w:rPr>
          <w:b/>
          <w:bCs/>
          <w:color w:val="1A2233"/>
          <w:sz w:val="26"/>
          <w:szCs w:val="26"/>
        </w:rPr>
        <w:t xml:space="preserve">Open Questions</w:t>
      </w:r>
    </w:p>
    <w:p>
      <w:pPr>
        <w:spacing w:after="200" w:line="300"/>
      </w:pPr>
      <w:r>
        <w:rPr>
          <w:color w:val="1A2233"/>
          <w:sz w:val="22"/>
          <w:szCs w:val="22"/>
        </w:rPr>
        <w:t xml:space="preserve">The N-CMAPSS download also contains a tenth file, N-CMAPSS_DS08d-010.h5, which does not appear in Akindoju's documented fault-code table (only DS08a and DS08c are listed, both mapped to "all five components / catastrophic"). Before copying DS08d into Drive, confirm what NASA's own documentation (or the bundled N_CMAPSS_Example_data_loading_and_exploration.ipynb) says about it — whether it is a third variant of the same all-component failure mode, a duplicate, or something structurally different — rather than assuming it fits the existing mapping table.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2026-08-30T05:46:51.901Z</dcterms:created>
  <dcterms:modified xsi:type="dcterms:W3CDTF">2026-08-30T05:46:51.916Z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