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0"/>
      </w:pPr>
    </w:p>
    <w:p>
      <w:pPr>
        <w:jc w:val="center"/>
      </w:pPr>
      <w:r>
        <w:drawing>
          <wp:inline distT="0" distB="0" distL="0" distR="0">
            <wp:extent cx="476250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DA0AE"/>
          <w:sz w:val="32"/>
          <w:szCs w:val="32"/>
        </w:rPr>
        <w:t xml:space="preserve">Logo &amp; Brand Assets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9DA0AE"/>
          <w:sz w:val="22"/>
          <w:szCs w:val="22"/>
        </w:rPr>
        <w:t xml:space="preserve">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Primary Logo</w:t>
      </w:r>
    </w:p>
    <w:p>
      <w:pPr>
        <w:spacing w:after="300"/>
      </w:pPr>
      <w:r>
        <w:rPr>
          <w:color w:val="666666"/>
          <w:sz w:val="22"/>
          <w:szCs w:val="22"/>
        </w:rPr>
        <w:t xml:space="preserve">The horizontal lockup is the primary logo for most applications. Use on light backgrounds whenever possible.</w:t>
      </w:r>
    </w:p>
    <w:p>
      <w:pPr>
        <w:pStyle w:val="Heading3"/>
      </w:pPr>
      <w:r>
        <w:t xml:space="preserve">Light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00050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200"/>
      </w:pPr>
    </w:p>
    <w:p>
      <w:pPr>
        <w:pStyle w:val="Heading3"/>
      </w:pPr>
      <w:r>
        <w:t xml:space="preserve">Dark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F3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00050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00"/>
      </w:pPr>
    </w:p>
    <w:p>
      <w:pPr>
        <w:pStyle w:val="Heading1"/>
      </w:pPr>
      <w:r>
        <w:t xml:space="preserve">Stacked Logo</w:t>
      </w:r>
    </w:p>
    <w:p>
      <w:pPr>
        <w:spacing w:after="300"/>
      </w:pPr>
      <w:r>
        <w:rPr>
          <w:color w:val="666666"/>
          <w:sz w:val="22"/>
          <w:szCs w:val="22"/>
        </w:rPr>
        <w:t xml:space="preserve">The stacked lockup works well for social media profiles, compact spaces, and square formats.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F3A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Symbol Mark</w:t>
      </w:r>
    </w:p>
    <w:p>
      <w:pPr>
        <w:spacing w:after="300"/>
      </w:pPr>
      <w:r>
        <w:rPr>
          <w:color w:val="666666"/>
          <w:sz w:val="22"/>
          <w:szCs w:val="22"/>
        </w:rPr>
        <w:t xml:space="preserve">Use the standalone symbol for favicons, app icons, avatars, and anywhere the full wordmark is too wide.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F3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922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Dark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On Orange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Brand Colors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rHeight w:val="1200" w:hRule="atLeast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F3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922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DA0A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Charcoal</w:t>
            </w:r>
          </w:p>
          <w:p>
            <w:r>
              <w:rPr>
                <w:color w:val="999999"/>
                <w:sz w:val="20"/>
                <w:szCs w:val="20"/>
              </w:rPr>
              <w:t xml:space="preserve">#2D2F3A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Orange</w:t>
            </w:r>
          </w:p>
          <w:p>
            <w:r>
              <w:rPr>
                <w:color w:val="999999"/>
                <w:sz w:val="20"/>
                <w:szCs w:val="20"/>
              </w:rPr>
              <w:t xml:space="preserve">#F5922A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Light Gray</w:t>
            </w:r>
          </w:p>
          <w:p>
            <w:r>
              <w:rPr>
                <w:color w:val="999999"/>
                <w:sz w:val="20"/>
                <w:szCs w:val="20"/>
              </w:rPr>
              <w:t xml:space="preserve">#9DA0AE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Typography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The IO Growth wordmark uses Manrope, a modern geometric sans-serif. "IO" is set in ExtraBold (800) and "Growth" in Regular (400). This weight contrast creates visual hierarchy within the name itself.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Primary Typeface: </w:t>
      </w:r>
      <w:r>
        <w:rPr>
          <w:color w:val="666666"/>
          <w:sz w:val="22"/>
          <w:szCs w:val="22"/>
        </w:rPr>
        <w:t xml:space="preserve">Manrope (Google Fonts, open source)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Wordmark Weights: </w:t>
      </w:r>
      <w:r>
        <w:rPr>
          <w:color w:val="666666"/>
          <w:sz w:val="22"/>
          <w:szCs w:val="22"/>
        </w:rPr>
        <w:t xml:space="preserve">800 (ExtraBold) for IO, 400 (Regular) for Growth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Tracking: </w:t>
      </w:r>
      <w:r>
        <w:rPr>
          <w:color w:val="666666"/>
          <w:sz w:val="22"/>
          <w:szCs w:val="22"/>
        </w:rPr>
        <w:t xml:space="preserve">-1px (slightly tightened)</w:t>
      </w:r>
    </w:p>
    <w:p>
      <w:pPr>
        <w:spacing w:after="0" w:before="200"/>
      </w:pPr>
    </w:p>
    <w:p>
      <w:pPr>
        <w:pStyle w:val="Heading1"/>
      </w:pPr>
      <w:r>
        <w:t xml:space="preserve">File Inventory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All logo files are provided as both SVG (vector, scalable) and PNG (raster, 3x resolution). SVGs have all text converted to outlined paths with no font dependencies.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io-growth-horizontal-light.svg / .png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Primary logo, light backgrounds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io-growth-horizontal-dark.svg / .png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Primary logo, dark backgrounds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io-growth-stacked-light.svg / .png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Social profiles, compact layouts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io-growth-stacked-dark.svg / .png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Social profiles, dark backgrounds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io-growth-symbol.svg / .png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Favicon, app icon, avatar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io-growth-symbol-dark.svg / .png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Icon on dark backgrounds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io-growth-symbol-white.svg / .png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Icon on orange or colored backgrounds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F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D2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D2F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dbd7877099e58859cc4040be81283c6506100d.png"/><Relationship Id="rId8" Type="http://schemas.openxmlformats.org/officeDocument/2006/relationships/image" Target="media/dd82309d1b42a29385fc120c83da838627d9f2bb.png"/><Relationship Id="rId9" Type="http://schemas.openxmlformats.org/officeDocument/2006/relationships/image" Target="media/badfe763ded7439d7cc9e9f0a9c6857508a46cf1.png"/><Relationship Id="rId10" Type="http://schemas.openxmlformats.org/officeDocument/2006/relationships/image" Target="media/92101c71c9881c5f96c06051a89fd5b877c50797.png"/><Relationship Id="rId11" Type="http://schemas.openxmlformats.org/officeDocument/2006/relationships/image" Target="media/71097cda20b48f711d725c6e9b0f8baea7106719.png"/><Relationship Id="rId12" Type="http://schemas.openxmlformats.org/officeDocument/2006/relationships/image" Target="media/7b6a215125eb457ff3ed86a61414a41a3e77caba.png"/><Relationship Id="rId13" Type="http://schemas.openxmlformats.org/officeDocument/2006/relationships/image" Target="media/726c4a6eacf953fb1b6d7c44b8df7dbb40a5ca0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2026-04-04T02:52:23.846Z</dcterms:created>
  <dcterms:modified xsi:type="dcterms:W3CDTF">2026-04-04T02:52:23.847Z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