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25.png" ContentType="image/png"/>
  <Override PartName="/word/media/rId93.png" ContentType="image/png"/>
  <Override PartName="/word/media/rId97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каталог для выполнения лабораторной работы № 10, перейдем</w:t>
      </w:r>
      <w:r>
        <w:t xml:space="preserve"> </w:t>
      </w:r>
      <w:r>
        <w:t xml:space="preserve">в него и создадим файл lab10-1.asm (рис. 1).</w:t>
      </w:r>
    </w:p>
    <w:p>
      <w:pPr>
        <w:pStyle w:val="CaptionedFigure"/>
      </w:pPr>
      <w:bookmarkStart w:id="24" w:name="fig:001"/>
      <w:r>
        <w:drawing>
          <wp:inline>
            <wp:extent cx="5334000" cy="512663"/>
            <wp:effectExtent b="0" l="0" r="0" t="0"/>
            <wp:docPr descr="Рис. 1: Создание каталога и файл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каталога и файла</w:t>
      </w:r>
    </w:p>
    <w:p>
      <w:pPr>
        <w:pStyle w:val="BodyText"/>
      </w:pPr>
      <w:r>
        <w:t xml:space="preserve">Введем в файл lab10-1.asm текст программы из листинга 1. Создадим</w:t>
      </w:r>
      <w:r>
        <w:t xml:space="preserve"> </w:t>
      </w:r>
      <w:r>
        <w:t xml:space="preserve">исполняемый файл и проверим его работу (рис. 2).</w:t>
      </w:r>
      <w:r>
        <w:t xml:space="preserve"> </w:t>
      </w:r>
      <w:r>
        <w:t xml:space="preserve">Листинг 2: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'2x+7='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rezs: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Основная программа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Вызов подпрограммы _calcul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Подпрограмма вычисления</w:t>
      </w:r>
      <w:r>
        <w:br/>
      </w:r>
      <w:r>
        <w:rPr>
          <w:rStyle w:val="CommentTok"/>
        </w:rPr>
        <w:t xml:space="preserve">; выражения "2x+7"</w:t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7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rez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из подпрограммы</w:t>
      </w:r>
    </w:p>
    <w:p>
      <w:pPr>
        <w:pStyle w:val="CaptionedFigure"/>
      </w:pPr>
      <w:bookmarkStart w:id="28" w:name="fig:002"/>
      <w:r>
        <w:drawing>
          <wp:inline>
            <wp:extent cx="5334000" cy="962751"/>
            <wp:effectExtent b="0" l="0" r="0" t="0"/>
            <wp:docPr descr="Рис. 2: Запуск программы вычисления выражени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вычисления выражения</w:t>
      </w:r>
    </w:p>
    <w:p>
      <w:pPr>
        <w:pStyle w:val="BodyText"/>
      </w:pPr>
      <w:r>
        <w:t xml:space="preserve">Изменим текст программы, добавив подпрограмму _subcalcul в подпрограмму _calcul, согласно листингу 2. Создадим исполняемый файл и проверим его работу (рис. 3).</w:t>
      </w:r>
      <w:r>
        <w:t xml:space="preserve"> </w:t>
      </w:r>
      <w:r>
        <w:t xml:space="preserve">Листинг 2: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'2(3x-1)+7='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rez: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Вызов подпрограммы _calcul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rez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7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rez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из подпрограммы</w:t>
      </w:r>
      <w:r>
        <w:br/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</w:p>
    <w:p>
      <w:pPr>
        <w:pStyle w:val="CaptionedFigure"/>
      </w:pPr>
      <w:bookmarkStart w:id="32" w:name="fig:003"/>
      <w:r>
        <w:drawing>
          <wp:inline>
            <wp:extent cx="5334000" cy="962751"/>
            <wp:effectExtent b="0" l="0" r="0" t="0"/>
            <wp:docPr descr="Рис. 3: Запуск программы вычисления выражения с использованием подпрограммы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2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Запуск программы вычисления выражения с использованием подпрограммы</w:t>
      </w:r>
    </w:p>
    <w:p>
      <w:pPr>
        <w:pStyle w:val="BodyText"/>
      </w:pPr>
      <w:r>
        <w:t xml:space="preserve">Создадим файл lab10-2.asm с текстом программы из листинга 3.Получим исполняемый файл. Загрузим исполняемый файл в отладчик gdb (рис. 4). Проверим работу программы, запустив ее в оболочке GDB с помощью команды run (рис. 5).</w:t>
      </w:r>
      <w:r>
        <w:t xml:space="preserve"> </w:t>
      </w:r>
      <w:r>
        <w:t xml:space="preserve">Листинг 3: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"Hello,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0x0</w:t>
      </w:r>
      <w:r>
        <w:br/>
      </w:r>
      <w:r>
        <w:rPr>
          <w:rStyle w:val="FunctionTok"/>
        </w:rPr>
        <w:t xml:space="preserve">msg1Len: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msg1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"world!"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0xa</w:t>
      </w:r>
      <w:r>
        <w:br/>
      </w:r>
      <w:r>
        <w:rPr>
          <w:rStyle w:val="FunctionTok"/>
        </w:rPr>
        <w:t xml:space="preserve">msg2Len: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msg2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msg1Len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msg2Len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</w:p>
    <w:p>
      <w:pPr>
        <w:pStyle w:val="CaptionedFigure"/>
      </w:pPr>
      <w:bookmarkStart w:id="36" w:name="fig:004"/>
      <w:r>
        <w:drawing>
          <wp:inline>
            <wp:extent cx="5334000" cy="1237822"/>
            <wp:effectExtent b="0" l="0" r="0" t="0"/>
            <wp:docPr descr="Рис. 4: Программа печати сообщения Hello world!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Программа печати сообщения Hello world!</w:t>
      </w:r>
    </w:p>
    <w:p>
      <w:pPr>
        <w:pStyle w:val="CaptionedFigure"/>
      </w:pPr>
      <w:bookmarkStart w:id="40" w:name="fig:005"/>
      <w:r>
        <w:drawing>
          <wp:inline>
            <wp:extent cx="5334000" cy="1436076"/>
            <wp:effectExtent b="0" l="0" r="0" t="0"/>
            <wp:docPr descr="Рис. 5: Программа печати сообщения Hello world!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6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Программа печати сообщения Hello world!</w:t>
      </w:r>
    </w:p>
    <w:p>
      <w:pPr>
        <w:pStyle w:val="BodyText"/>
      </w:pPr>
      <w:r>
        <w:t xml:space="preserve">Для более подробного анализа программы установим брейкпоинт на метку</w:t>
      </w:r>
      <w:r>
        <w:t xml:space="preserve"> </w:t>
      </w:r>
      <w:r>
        <w:t xml:space="preserve">_start, с которой начинается выполнение любой ассемблерной программы, и</w:t>
      </w:r>
      <w:r>
        <w:t xml:space="preserve"> </w:t>
      </w:r>
      <w:r>
        <w:t xml:space="preserve">запустим её (рис. 6).</w:t>
      </w:r>
    </w:p>
    <w:p>
      <w:pPr>
        <w:pStyle w:val="CaptionedFigure"/>
      </w:pPr>
      <w:bookmarkStart w:id="44" w:name="fig:006"/>
      <w:r>
        <w:drawing>
          <wp:inline>
            <wp:extent cx="5334000" cy="2004461"/>
            <wp:effectExtent b="0" l="0" r="0" t="0"/>
            <wp:docPr descr="Рис. 6: Установка брейкпоинт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4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Установка брейкпоинта</w:t>
      </w:r>
    </w:p>
    <w:p>
      <w:pPr>
        <w:pStyle w:val="BodyText"/>
      </w:pPr>
      <w:r>
        <w:t xml:space="preserve">Посмотрим дисассимилированный код программы с помощью команды disassemble начиная с метки _start (рис. 7).</w:t>
      </w:r>
    </w:p>
    <w:p>
      <w:pPr>
        <w:pStyle w:val="CaptionedFigure"/>
      </w:pPr>
      <w:bookmarkStart w:id="48" w:name="fig:007"/>
      <w:r>
        <w:drawing>
          <wp:inline>
            <wp:extent cx="5334000" cy="2419951"/>
            <wp:effectExtent b="0" l="0" r="0" t="0"/>
            <wp:docPr descr="Рис. 7: Дисассимилированный код программы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9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Дисассимилированный код программы</w:t>
      </w:r>
    </w:p>
    <w:p>
      <w:pPr>
        <w:pStyle w:val="BodyText"/>
      </w:pPr>
      <w:r>
        <w:t xml:space="preserve">Переключимся на отображение команд с Intel’овским синтаксисом, введя</w:t>
      </w:r>
      <w:r>
        <w:t xml:space="preserve"> </w:t>
      </w:r>
      <w:r>
        <w:t xml:space="preserve">команду set disassembly-flavor intel. Код Intel опускает символ</w:t>
      </w:r>
      <w:r>
        <w:t xml:space="preserve"> </w:t>
      </w:r>
      <w:r>
        <w:t xml:space="preserve">‘</w:t>
      </w:r>
      <w:r>
        <w:t xml:space="preserve">%</w:t>
      </w:r>
      <w:r>
        <w:t xml:space="preserve">’</w:t>
      </w:r>
      <w:r>
        <w:t xml:space="preserve"> </w:t>
      </w:r>
      <w:r>
        <w:t xml:space="preserve">перед именами регистров, инструкции с несколькими операндами перечисляют их в обратном порядке.</w:t>
      </w:r>
    </w:p>
    <w:p>
      <w:pPr>
        <w:pStyle w:val="BodyText"/>
      </w:pPr>
      <w:r>
        <w:t xml:space="preserve">Включим режим псевдографики для более удобного анализа программы (рис. 8).</w:t>
      </w:r>
    </w:p>
    <w:p>
      <w:pPr>
        <w:pStyle w:val="CaptionedFigure"/>
      </w:pPr>
      <w:bookmarkStart w:id="52" w:name="fig:008"/>
      <w:r>
        <w:drawing>
          <wp:inline>
            <wp:extent cx="5334000" cy="3637289"/>
            <wp:effectExtent b="0" l="0" r="0" t="0"/>
            <wp:docPr descr="Рис. 8: Режим псевдографики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Режим псевдографики</w:t>
      </w:r>
    </w:p>
    <w:p>
      <w:pPr>
        <w:pStyle w:val="BodyText"/>
      </w:pPr>
      <w:r>
        <w:t xml:space="preserve">Проверим наличие брейкпоинтов с помощью команды info breakpoints и установим еще одну точку останова по адресу инструкции. Адрес инструкции можно увидеть в средней части экрана в левом столбце соответствующей инструкции. Определим адрес предпоследней инструкции (mov ebx,0x0) и установим точку останова.</w:t>
      </w:r>
      <w:r>
        <w:t xml:space="preserve"> </w:t>
      </w:r>
      <w:r>
        <w:t xml:space="preserve">Посмотрим информацию о всех установленных точках останова (рис. 9).</w:t>
      </w:r>
    </w:p>
    <w:p>
      <w:pPr>
        <w:pStyle w:val="CaptionedFigure"/>
      </w:pPr>
      <w:bookmarkStart w:id="56" w:name="fig:0010"/>
      <w:r>
        <w:drawing>
          <wp:inline>
            <wp:extent cx="5334000" cy="991720"/>
            <wp:effectExtent b="0" l="0" r="0" t="0"/>
            <wp:docPr descr="Рис. 9: Брейкпоинты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1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Брейкпоинты</w:t>
      </w:r>
    </w:p>
    <w:p>
      <w:pPr>
        <w:pStyle w:val="BodyText"/>
      </w:pPr>
      <w:r>
        <w:t xml:space="preserve">Отладчик может показывать содержимое ячеек памяти и регистров, а при необходимости позволяет вручную изменять значения регистров и переменных. Выполним 5 инструкций с помощью команды stepi (или si) и проследите за изменением значений регистров (рис. 10), (рис. 11), (рис. 12), (рис. 13) и (рис. 14). Команда si делает шаг от брейкпоинта и показывает значение регистра согласно строке.</w:t>
      </w:r>
    </w:p>
    <w:p>
      <w:pPr>
        <w:pStyle w:val="CaptionedFigure"/>
      </w:pPr>
      <w:bookmarkStart w:id="60" w:name="fig:0011"/>
      <w:r>
        <w:drawing>
          <wp:inline>
            <wp:extent cx="5334000" cy="3637289"/>
            <wp:effectExtent b="0" l="0" r="0" t="0"/>
            <wp:docPr descr="Рис. 10: Команда si" title="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Команда si</w:t>
      </w:r>
    </w:p>
    <w:p>
      <w:pPr>
        <w:pStyle w:val="CaptionedFigure"/>
      </w:pPr>
      <w:bookmarkStart w:id="64" w:name="fig:0012"/>
      <w:r>
        <w:drawing>
          <wp:inline>
            <wp:extent cx="5334000" cy="3637289"/>
            <wp:effectExtent b="0" l="0" r="0" t="0"/>
            <wp:docPr descr="Рис. 11: Команда si" title="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Команда si</w:t>
      </w:r>
    </w:p>
    <w:p>
      <w:pPr>
        <w:pStyle w:val="CaptionedFigure"/>
      </w:pPr>
      <w:bookmarkStart w:id="68" w:name="fig:0013"/>
      <w:r>
        <w:drawing>
          <wp:inline>
            <wp:extent cx="5334000" cy="3637289"/>
            <wp:effectExtent b="0" l="0" r="0" t="0"/>
            <wp:docPr descr="Рис. 12: Команда si" title="" id="66" name="Picture"/>
            <a:graphic>
              <a:graphicData uri="http://schemas.openxmlformats.org/drawingml/2006/picture">
                <pic:pic>
                  <pic:nvPicPr>
                    <pic:cNvPr descr="image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Команда si</w:t>
      </w:r>
    </w:p>
    <w:p>
      <w:pPr>
        <w:pStyle w:val="CaptionedFigure"/>
      </w:pPr>
      <w:bookmarkStart w:id="72" w:name="fig:0014"/>
      <w:r>
        <w:drawing>
          <wp:inline>
            <wp:extent cx="5334000" cy="3637289"/>
            <wp:effectExtent b="0" l="0" r="0" t="0"/>
            <wp:docPr descr="Рис. 13: Команда si" title="" id="70" name="Picture"/>
            <a:graphic>
              <a:graphicData uri="http://schemas.openxmlformats.org/drawingml/2006/picture">
                <pic:pic>
                  <pic:nvPicPr>
                    <pic:cNvPr descr="image/1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Команда si</w:t>
      </w:r>
    </w:p>
    <w:p>
      <w:pPr>
        <w:pStyle w:val="CaptionedFigure"/>
      </w:pPr>
      <w:bookmarkStart w:id="76" w:name="fig:0015"/>
      <w:r>
        <w:drawing>
          <wp:inline>
            <wp:extent cx="5334000" cy="3637289"/>
            <wp:effectExtent b="0" l="0" r="0" t="0"/>
            <wp:docPr descr="Рис. 14: Команда si" title="" id="74" name="Picture"/>
            <a:graphic>
              <a:graphicData uri="http://schemas.openxmlformats.org/drawingml/2006/picture">
                <pic:pic>
                  <pic:nvPicPr>
                    <pic:cNvPr descr="image/1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Команда si</w:t>
      </w:r>
    </w:p>
    <w:p>
      <w:pPr>
        <w:pStyle w:val="BodyText"/>
      </w:pPr>
      <w:r>
        <w:t xml:space="preserve">Посмотрим значение переменной msg1 по имени и значение переменной msg2 по адресу (рис. 15).</w:t>
      </w:r>
    </w:p>
    <w:p>
      <w:pPr>
        <w:pStyle w:val="CaptionedFigure"/>
      </w:pPr>
      <w:bookmarkStart w:id="80" w:name="fig:0016"/>
      <w:r>
        <w:drawing>
          <wp:inline>
            <wp:extent cx="5334000" cy="587075"/>
            <wp:effectExtent b="0" l="0" r="0" t="0"/>
            <wp:docPr descr="Рис. 15: Значения переменных" title="" id="78" name="Picture"/>
            <a:graphic>
              <a:graphicData uri="http://schemas.openxmlformats.org/drawingml/2006/picture">
                <pic:pic>
                  <pic:nvPicPr>
                    <pic:cNvPr descr="image/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7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Значения переменных</w:t>
      </w:r>
    </w:p>
    <w:p>
      <w:pPr>
        <w:pStyle w:val="BodyText"/>
      </w:pPr>
      <w:r>
        <w:t xml:space="preserve">Изменим первый символ переменной msg1. Заменим любой символ во второй переменной msg2 (рис. 16).</w:t>
      </w:r>
    </w:p>
    <w:p>
      <w:pPr>
        <w:pStyle w:val="CaptionedFigure"/>
      </w:pPr>
      <w:bookmarkStart w:id="84" w:name="fig:0017"/>
      <w:r>
        <w:drawing>
          <wp:inline>
            <wp:extent cx="5334000" cy="989641"/>
            <wp:effectExtent b="0" l="0" r="0" t="0"/>
            <wp:docPr descr="Рис. 16: Изменение значений переменных" title="" id="82" name="Picture"/>
            <a:graphic>
              <a:graphicData uri="http://schemas.openxmlformats.org/drawingml/2006/picture">
                <pic:pic>
                  <pic:nvPicPr>
                    <pic:cNvPr descr="image/17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9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Изменение значений переменных</w:t>
      </w:r>
    </w:p>
    <w:p>
      <w:pPr>
        <w:pStyle w:val="BodyText"/>
      </w:pPr>
      <w:r>
        <w:t xml:space="preserve">Выведем в различных форматах (в шестнадцатеричном формате, в двоичном</w:t>
      </w:r>
      <w:r>
        <w:t xml:space="preserve"> </w:t>
      </w:r>
      <w:r>
        <w:t xml:space="preserve">формате и в символьном виде) значение регистра edx (рис. 17).</w:t>
      </w:r>
    </w:p>
    <w:p>
      <w:pPr>
        <w:pStyle w:val="CaptionedFigure"/>
      </w:pPr>
      <w:bookmarkStart w:id="88" w:name="fig:0018"/>
      <w:r>
        <w:drawing>
          <wp:inline>
            <wp:extent cx="5334000" cy="989641"/>
            <wp:effectExtent b="0" l="0" r="0" t="0"/>
            <wp:docPr descr="Рис. 17: Значение регистра в разных форматах" title="" id="86" name="Picture"/>
            <a:graphic>
              <a:graphicData uri="http://schemas.openxmlformats.org/drawingml/2006/picture">
                <pic:pic>
                  <pic:nvPicPr>
                    <pic:cNvPr descr="image/18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9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Значение регистра в разных форматах</w:t>
      </w:r>
    </w:p>
    <w:p>
      <w:pPr>
        <w:pStyle w:val="BodyText"/>
      </w:pPr>
      <w:r>
        <w:t xml:space="preserve">С помощью команды set изменим значение регистра ebx (рис. 18).</w:t>
      </w:r>
      <w:r>
        <w:t xml:space="preserve"> </w:t>
      </w:r>
      <w:r>
        <w:t xml:space="preserve">Разница вывода команда заключается в том, что в первом случае мы вводим 2 как символ.</w:t>
      </w:r>
    </w:p>
    <w:p>
      <w:pPr>
        <w:pStyle w:val="CaptionedFigure"/>
      </w:pPr>
      <w:bookmarkStart w:id="92" w:name="fig:0019"/>
      <w:r>
        <w:drawing>
          <wp:inline>
            <wp:extent cx="5334000" cy="989641"/>
            <wp:effectExtent b="0" l="0" r="0" t="0"/>
            <wp:docPr descr="Рис. 18: Значение регистра ebx" title="" id="90" name="Picture"/>
            <a:graphic>
              <a:graphicData uri="http://schemas.openxmlformats.org/drawingml/2006/picture">
                <pic:pic>
                  <pic:nvPicPr>
                    <pic:cNvPr descr="image/19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9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Значение регистра ebx</w:t>
      </w:r>
    </w:p>
    <w:p>
      <w:pPr>
        <w:pStyle w:val="BodyText"/>
      </w:pPr>
      <w:r>
        <w:t xml:space="preserve">Завершим выполнение программы с помощью команды continue (сокращенно c) или stepi (сокращенно si) и выйдем из GDB с помощью команды quit (сокращенно q).</w:t>
      </w:r>
    </w:p>
    <w:p>
      <w:pPr>
        <w:pStyle w:val="BodyText"/>
      </w:pPr>
      <w:r>
        <w:t xml:space="preserve">Скопируем файл lab9-2.asm, созданный при выполнении лабораторной работы №9, с программой выводящей на экран аргументы командной строки в файл с именем lab10-3.asm. Создадим исполняемый файл. Загрузим исполняемый файл в отладчик, указав аргументы (рис. 19).</w:t>
      </w:r>
    </w:p>
    <w:p>
      <w:pPr>
        <w:pStyle w:val="CaptionedFigure"/>
      </w:pPr>
      <w:bookmarkStart w:id="96" w:name="fig:0020"/>
      <w:r>
        <w:drawing>
          <wp:inline>
            <wp:extent cx="5334000" cy="3637289"/>
            <wp:effectExtent b="0" l="0" r="0" t="0"/>
            <wp:docPr descr="Рис. 19: Программа вывода аргументов" title="" id="94" name="Picture"/>
            <a:graphic>
              <a:graphicData uri="http://schemas.openxmlformats.org/drawingml/2006/picture">
                <pic:pic>
                  <pic:nvPicPr>
                    <pic:cNvPr descr="image/20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Программа вывода аргументов</w:t>
      </w:r>
    </w:p>
    <w:p>
      <w:pPr>
        <w:pStyle w:val="BodyText"/>
      </w:pPr>
      <w:r>
        <w:t xml:space="preserve">Установим точку брейкпоинта. Посмотрим позиции стека (рис. 20). Шаг изменения адреса равен 4 ([esp+4], [esp+8], [esp+12] и т.д.), так как шаг равен размеру переменной - 4 байтам.</w:t>
      </w:r>
    </w:p>
    <w:p>
      <w:pPr>
        <w:pStyle w:val="CaptionedFigure"/>
      </w:pPr>
      <w:bookmarkStart w:id="100" w:name="fig:0021"/>
      <w:r>
        <w:drawing>
          <wp:inline>
            <wp:extent cx="5334000" cy="3637289"/>
            <wp:effectExtent b="0" l="0" r="0" t="0"/>
            <wp:docPr descr="Рис. 20: Позиции стека" title="" id="98" name="Picture"/>
            <a:graphic>
              <a:graphicData uri="http://schemas.openxmlformats.org/drawingml/2006/picture">
                <pic:pic>
                  <pic:nvPicPr>
                    <pic:cNvPr descr="image/2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Позиции стека</w:t>
      </w:r>
    </w:p>
    <w:bookmarkEnd w:id="101"/>
    <w:bookmarkStart w:id="118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Преобразуем программу из лабораторной работы №9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</w:t>
      </w:r>
      <w:r>
        <w:t xml:space="preserve"> </w:t>
      </w:r>
      <w:r>
        <w:t xml:space="preserve">как подпрограмму, согласно листингу 4 (рис. 21).</w:t>
      </w:r>
      <w:r>
        <w:t xml:space="preserve"> </w:t>
      </w:r>
      <w:r>
        <w:t xml:space="preserve">Листинг 4: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fx: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'f(x)=5(x+2)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calc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calc: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ControlFlowTok"/>
        </w:rPr>
        <w:t xml:space="preserve">ret</w:t>
      </w:r>
    </w:p>
    <w:p>
      <w:pPr>
        <w:pStyle w:val="CaptionedFigure"/>
      </w:pPr>
      <w:bookmarkStart w:id="105" w:name="fig:0022"/>
      <w:r>
        <w:drawing>
          <wp:inline>
            <wp:extent cx="5334000" cy="905879"/>
            <wp:effectExtent b="0" l="0" r="0" t="0"/>
            <wp:docPr descr="Рис. 21: Программа вычисления значения функции" title="" id="103" name="Picture"/>
            <a:graphic>
              <a:graphicData uri="http://schemas.openxmlformats.org/drawingml/2006/picture">
                <pic:pic>
                  <pic:nvPicPr>
                    <pic:cNvPr descr="image/2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5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Программа вычисления значения функции</w:t>
      </w:r>
    </w:p>
    <w:p>
      <w:pPr>
        <w:pStyle w:val="BodyText"/>
      </w:pPr>
      <w:r>
        <w:t xml:space="preserve">В листинге 5 приведена программа вычисления выражения (3+2)*4+5.</w:t>
      </w:r>
      <w:r>
        <w:t xml:space="preserve"> </w:t>
      </w:r>
      <w:r>
        <w:t xml:space="preserve">При запуске данная программа дает неверный результат. Проверим это (рис. 22). С помощью отладчика GDB, анализируя изменения значений регистров (рис. 23), определим ошибку: перепутан порядок аргументов у инструкции add и по окончании работы в edi отправляется регистр ebx вместо eax.</w:t>
      </w:r>
      <w:r>
        <w:t xml:space="preserve"> </w:t>
      </w:r>
      <w:r>
        <w:t xml:space="preserve">Исправим ее согласно листингу 6 (рис. 24).</w:t>
      </w:r>
      <w:r>
        <w:t xml:space="preserve"> </w:t>
      </w:r>
      <w:r>
        <w:t xml:space="preserve">Листинг 5: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 Вычисление выражения (3+2)*4+5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CaptionedFigure"/>
      </w:pPr>
      <w:bookmarkStart w:id="109" w:name="fig:0023"/>
      <w:r>
        <w:drawing>
          <wp:inline>
            <wp:extent cx="5334000" cy="320715"/>
            <wp:effectExtent b="0" l="0" r="0" t="0"/>
            <wp:docPr descr="Рис. 22: Неправильный вывод программы" title="" id="107" name="Picture"/>
            <a:graphic>
              <a:graphicData uri="http://schemas.openxmlformats.org/drawingml/2006/picture">
                <pic:pic>
                  <pic:nvPicPr>
                    <pic:cNvPr descr="image/24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Неправильный вывод программы</w:t>
      </w:r>
    </w:p>
    <w:p>
      <w:pPr>
        <w:pStyle w:val="CaptionedFigure"/>
      </w:pPr>
      <w:bookmarkStart w:id="113" w:name="fig:0024"/>
      <w:r>
        <w:drawing>
          <wp:inline>
            <wp:extent cx="5334000" cy="3850027"/>
            <wp:effectExtent b="0" l="0" r="0" t="0"/>
            <wp:docPr descr="Рис. 23: Поиск ошибки" title="" id="111" name="Picture"/>
            <a:graphic>
              <a:graphicData uri="http://schemas.openxmlformats.org/drawingml/2006/picture">
                <pic:pic>
                  <pic:nvPicPr>
                    <pic:cNvPr descr="image/25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Поиск ошибки</w:t>
      </w:r>
    </w:p>
    <w:p>
      <w:pPr>
        <w:pStyle w:val="BodyText"/>
      </w:pPr>
      <w:r>
        <w:t xml:space="preserve">Листинг 6: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 Вычисление выражения (3+2)*4+5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CaptionedFigure"/>
      </w:pPr>
      <w:bookmarkStart w:id="117" w:name="fig:0025"/>
      <w:r>
        <w:drawing>
          <wp:inline>
            <wp:extent cx="5334000" cy="759588"/>
            <wp:effectExtent b="0" l="0" r="0" t="0"/>
            <wp:docPr descr="Рис. 24: Правильный вывод" title="" id="115" name="Picture"/>
            <a:graphic>
              <a:graphicData uri="http://schemas.openxmlformats.org/drawingml/2006/picture">
                <pic:pic>
                  <pic:nvPicPr>
                    <pic:cNvPr descr="image/26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9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Правильный вывод</w:t>
      </w:r>
    </w:p>
    <w:bookmarkEnd w:id="118"/>
    <w:bookmarkStart w:id="12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приобрела навыки написания программ с использованием подпрограмм и познакомилась с методами отладки при помощи GDB и его основными возможностями.</w:t>
      </w:r>
    </w:p>
    <w:bookmarkStart w:id="119" w:name="refs"/>
    <w:bookmarkEnd w:id="119"/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25" Target="media/rId25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№10</dc:title>
  <dc:creator>Ищенко Ирина Олеговна</dc:creator>
  <dc:language>ru-RU</dc:language>
  <cp:keywords/>
  <dcterms:created xsi:type="dcterms:W3CDTF">2022-12-17T14:17:35Z</dcterms:created>
  <dcterms:modified xsi:type="dcterms:W3CDTF">2022-12-17T14:17:35Z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