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</w:t>
      </w:r>
      <w:r>
        <w:t xml:space="preserve"> </w:t>
      </w:r>
      <w:r>
        <w:t xml:space="preserve">настройку.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VLAN.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области проекта разместим маршрутизатор Cisco 2811, подключить его к порту 24 коммутатора msk-donskaya-sw-1 в соответствии с таблицей портов. Сконфигурируем маршрутизатор, задав на нём имя, пароль для доступа к консоли, настроим удалённое подключение к нему по ssh (рис. 1).</w:t>
      </w:r>
    </w:p>
    <w:p>
      <w:pPr>
        <w:pStyle w:val="CaptionedFigure"/>
      </w:pPr>
      <w:r>
        <w:drawing>
          <wp:inline>
            <wp:extent cx="3733800" cy="2648055"/>
            <wp:effectExtent b="0" l="0" r="0" t="0"/>
            <wp:docPr descr="Конфигурация маршрутиза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маршрутизатора</w:t>
      </w:r>
    </w:p>
    <w:p>
      <w:pPr>
        <w:pStyle w:val="BodyText"/>
      </w:pPr>
      <w:r>
        <w:t xml:space="preserve">Настроим порт 24 коммутатора msk-donskaya-sw-1 как trunk-порт (рис. 2).</w:t>
      </w:r>
    </w:p>
    <w:p>
      <w:pPr>
        <w:pStyle w:val="CaptionedFigure"/>
      </w:pPr>
      <w:r>
        <w:drawing>
          <wp:inline>
            <wp:extent cx="3733800" cy="1303571"/>
            <wp:effectExtent b="0" l="0" r="0" t="0"/>
            <wp:docPr descr="Trunk-пор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Trunk-порт</w:t>
      </w:r>
    </w:p>
    <w:p>
      <w:pPr>
        <w:pStyle w:val="BodyText"/>
      </w:pPr>
      <w:r>
        <w:t xml:space="preserve">На интерфейсе f0/0 маршрутизатора msk-donskaya-gw-1 настроим виртуальные интерфейсы, соответствующие номерам VLAN. зададим соответствующие IP-адреса на виртуальных интерфейсах (рис. 3).</w:t>
      </w:r>
    </w:p>
    <w:p>
      <w:pPr>
        <w:pStyle w:val="CaptionedFigure"/>
      </w:pPr>
      <w:r>
        <w:drawing>
          <wp:inline>
            <wp:extent cx="3733800" cy="4284872"/>
            <wp:effectExtent b="0" l="0" r="0" t="0"/>
            <wp:docPr descr="Конфигурация VLAN-интерфейсов маршрутиз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VLAN-интерфейсов маршрутизатора</w:t>
      </w:r>
    </w:p>
    <w:p>
      <w:pPr>
        <w:pStyle w:val="BodyText"/>
      </w:pPr>
      <w:r>
        <w:t xml:space="preserve">Проверим доступность оконечных устройств из разных VLAN (рис. 4). Пакеты успешно доходят. При первичной отправке один пакет был утерян из-за настройки сети.</w:t>
      </w:r>
    </w:p>
    <w:p>
      <w:pPr>
        <w:pStyle w:val="CaptionedFigure"/>
      </w:pPr>
      <w:r>
        <w:drawing>
          <wp:inline>
            <wp:extent cx="3733800" cy="3481336"/>
            <wp:effectExtent b="0" l="0" r="0" t="0"/>
            <wp:docPr descr="Пинг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Пинг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 (рис. 5). Сначала пакет доходит до маршрутизатора, откуда перенаправляется к устройству назначения.</w:t>
      </w:r>
    </w:p>
    <w:p>
      <w:pPr>
        <w:pStyle w:val="CaptionedFigure"/>
      </w:pPr>
      <w:r>
        <w:drawing>
          <wp:inline>
            <wp:extent cx="3733800" cy="1771649"/>
            <wp:effectExtent b="0" l="0" r="0" t="0"/>
            <wp:docPr descr="Движение паке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Движение пакета</w:t>
      </w:r>
    </w:p>
    <w:p>
      <w:pPr>
        <w:pStyle w:val="BodyText"/>
      </w:pPr>
      <w:r>
        <w:t xml:space="preserve">Изучим содержимое передаваемого пакета и заголовки задействованных протоколов (рис. 6). Пакет содержит кадр канального уровня Ethernet, тут мы можем посмотреть mac-адреса источника и назначения. Далее идет кадр сетевого уровня IP, версия IP - 4, можем также увидеть ip-адреса источника и назначения, далее идет ICMP кадр.</w:t>
      </w:r>
    </w:p>
    <w:p>
      <w:pPr>
        <w:pStyle w:val="CaptionedFigure"/>
      </w:pPr>
      <w:r>
        <w:drawing>
          <wp:inline>
            <wp:extent cx="3733800" cy="4534921"/>
            <wp:effectExtent b="0" l="0" r="0" t="0"/>
            <wp:docPr descr="Пакет ICM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Пакет ICMP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настроила статическую маршрутизацию VLAN в сети.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pStyle w:val="BodyText"/>
      </w:pP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 802.1Q помещает внутрь фрейма тег, который передает информацию о принадлежности трафика к VLAN.</w:t>
      </w:r>
    </w:p>
    <w:p>
      <w:pPr>
        <w:pStyle w:val="Compact"/>
        <w:numPr>
          <w:ilvl w:val="0"/>
          <w:numId w:val="1003"/>
        </w:numPr>
      </w:pPr>
      <w:r>
        <w:t xml:space="preserve">Опишите формат кадра IEEE 802.1Q.</w:t>
      </w:r>
    </w:p>
    <w:p>
      <w:pPr>
        <w:pStyle w:val="FirstParagraph"/>
      </w:pPr>
      <w:r>
        <w:t xml:space="preserve"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>
      <w:pPr>
        <w:pStyle w:val="BodyText"/>
      </w:pPr>
      <w:r>
        <w:t xml:space="preserve"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>
      <w:pPr>
        <w:pStyle w:val="BodyText"/>
      </w:pPr>
      <w:r>
        <w:t xml:space="preserve">В поле метки VLAN имеется три подполя.</w:t>
      </w:r>
    </w:p>
    <w:p>
      <w:pPr>
        <w:pStyle w:val="BodyText"/>
      </w:pPr>
      <w:r>
        <w:t xml:space="preserve"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>
      <w:pPr>
        <w:pStyle w:val="BodyText"/>
      </w:pPr>
      <w:r>
        <w:t xml:space="preserve">С помощью этого признака можно туннелировать трафик сетей Token Ring на коммутируемых магистралях Ethernet.</w:t>
      </w:r>
    </w:p>
    <w:p>
      <w:pPr>
        <w:pStyle w:val="BodyText"/>
      </w:pPr>
      <w:r>
        <w:t xml:space="preserve">12-битный идентификатор VLAN (VID) уникально идентифицирует VLAN, к которой относится данный кадр.</w:t>
      </w:r>
    </w:p>
    <w:p>
      <w:pPr>
        <w:pStyle w:val="BodyText"/>
      </w:pPr>
      <w:r>
        <w:t xml:space="preserve">Максимальный размер кадра Ethernet увеличивается при применении спецификации IEEE 802.1 Q не 4 байта- с 1518 байт до 1522 байт.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Ищенко Ирина НПИбд-02-22</dc:creator>
  <dc:language>ru-RU</dc:language>
  <cp:keywords/>
  <dcterms:created xsi:type="dcterms:W3CDTF">2025-03-12T16:55:43Z</dcterms:created>
  <dcterms:modified xsi:type="dcterms:W3CDTF">2025-03-12T16:55:43Z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