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 а также учесть физические параметры сети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заменить соединение между коммутаторами двух территорий msk-donskaya-sw-1 и msk-pavlovskaya-sw-1 на соединение, учитывающее физические параметры сети, а именно — расстояние между двумя территориями.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физическую рабочую область Packet Tracer. Присвоим название городу — Moscow (рис. 1).</w:t>
      </w:r>
    </w:p>
    <w:p>
      <w:pPr>
        <w:pStyle w:val="CaptionedFigure"/>
      </w:pPr>
      <w:r>
        <w:drawing>
          <wp:inline>
            <wp:extent cx="3733800" cy="3065234"/>
            <wp:effectExtent b="0" l="0" r="0" t="0"/>
            <wp:docPr descr="Присвоение назв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Присвоение названия</w:t>
      </w:r>
    </w:p>
    <w:p>
      <w:pPr>
        <w:pStyle w:val="BodyText"/>
      </w:pPr>
      <w:r>
        <w:t xml:space="preserve">Щёлкнув на изображении города, увидим изображение здания.</w:t>
      </w:r>
      <w:r>
        <w:t xml:space="preserve"> </w:t>
      </w:r>
      <w:r>
        <w:t xml:space="preserve">Присвоим ему название Donskaya. Добавим здание для территории Pavlovskaya (рис. 2).</w:t>
      </w:r>
    </w:p>
    <w:p>
      <w:pPr>
        <w:pStyle w:val="CaptionedFigure"/>
      </w:pPr>
      <w:r>
        <w:drawing>
          <wp:inline>
            <wp:extent cx="3733800" cy="2389632"/>
            <wp:effectExtent b="0" l="0" r="0" t="0"/>
            <wp:docPr descr="Присвоение назва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Присвоение названия</w:t>
      </w:r>
    </w:p>
    <w:p>
      <w:pPr>
        <w:pStyle w:val="BodyText"/>
      </w:pPr>
      <w:r>
        <w:t xml:space="preserve">Щёлкнув на изображении здания Donskaya, переместим изображение, обозначающее серверное помещение, в него. Щёлкнув на изображении серверной, увидим отображение серверных стоек. Переместим коммутатор msk-pavlovskaya-sw-1 и два оконечных устройства dk-pavlovskaya-1 и other-pavlovskaya-1 на территорию Pavlovskaya, используя меню Move физической рабочей области Packet Tracer (рис. 3).</w:t>
      </w:r>
    </w:p>
    <w:p>
      <w:pPr>
        <w:pStyle w:val="CaptionedFigure"/>
      </w:pPr>
      <w:r>
        <w:drawing>
          <wp:inline>
            <wp:extent cx="3733800" cy="1965920"/>
            <wp:effectExtent b="0" l="0" r="0" t="0"/>
            <wp:docPr descr="Перенос устройст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Перенос устройств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msk-pavlovskaya-sw-1. Соединение работоспособно (рис. 4).</w:t>
      </w:r>
    </w:p>
    <w:p>
      <w:pPr>
        <w:pStyle w:val="CaptionedFigure"/>
      </w:pPr>
      <w:r>
        <w:drawing>
          <wp:inline>
            <wp:extent cx="3733800" cy="1164213"/>
            <wp:effectExtent b="0" l="0" r="0" t="0"/>
            <wp:docPr descr="Пинг соедине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Пинг соединения</w:t>
      </w:r>
    </w:p>
    <w:p>
      <w:pPr>
        <w:pStyle w:val="BodyText"/>
      </w:pPr>
      <w:r>
        <w:t xml:space="preserve">В меню Options , Preferences во вкладке Interface активируем разрешение на учёт физических характеристик среды передачи (Enable Cable Length Effects) (рис. 5).</w:t>
      </w:r>
    </w:p>
    <w:p>
      <w:pPr>
        <w:pStyle w:val="CaptionedFigure"/>
      </w:pPr>
      <w:r>
        <w:drawing>
          <wp:inline>
            <wp:extent cx="3733800" cy="1033855"/>
            <wp:effectExtent b="0" l="0" r="0" t="0"/>
            <wp:docPr descr="Разрешение на учёт физических характеристик среды передач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Разрешение на учёт физических характеристик среды передачи</w:t>
      </w:r>
    </w:p>
    <w:p>
      <w:pPr>
        <w:pStyle w:val="BodyText"/>
      </w:pPr>
      <w:r>
        <w:t xml:space="preserve">В физической рабочей области Packet Tracer разместим две территории на расстоянии более 100 м друг от друга (рекомендуемое расстояние — около 1000 м или более) (рис. 6).</w:t>
      </w:r>
    </w:p>
    <w:p>
      <w:pPr>
        <w:pStyle w:val="CaptionedFigure"/>
      </w:pPr>
      <w:r>
        <w:drawing>
          <wp:inline>
            <wp:extent cx="3733800" cy="1993538"/>
            <wp:effectExtent b="0" l="0" r="0" t="0"/>
            <wp:docPr descr="Размещение на расстояни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Размещение на расстоянии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msk-pavlovskaya-sw-1. Соединение не работоспособно (рис. 7).</w:t>
      </w:r>
    </w:p>
    <w:p>
      <w:pPr>
        <w:pStyle w:val="CaptionedFigure"/>
      </w:pPr>
      <w:r>
        <w:drawing>
          <wp:inline>
            <wp:extent cx="3733800" cy="684820"/>
            <wp:effectExtent b="0" l="0" r="0" t="0"/>
            <wp:docPr descr="Пинг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Пинг</w:t>
      </w:r>
    </w:p>
    <w:p>
      <w:pPr>
        <w:pStyle w:val="BodyText"/>
      </w:pPr>
      <w:r>
        <w:t xml:space="preserve">Удалим соединение между msk-donskaya-sw-1 и msk-pavlovskaya-sw-1. Добавим в логическую рабочую область два повторителя (RepeaterPT). Присвоим им соответствующие названия msk-donskaya-mc-1 и msk-pavlovskaya-mc-1. Заменим имеющиеся модули на PT-REPEATERNM-1FFE и PT-REPEATER-NM-1CFE для подключения оптоволокна и витой пары по технологии Fast Ethernet (рис. 8).</w:t>
      </w:r>
    </w:p>
    <w:p>
      <w:pPr>
        <w:pStyle w:val="CaptionedFigure"/>
      </w:pPr>
      <w:r>
        <w:drawing>
          <wp:inline>
            <wp:extent cx="3733800" cy="1695624"/>
            <wp:effectExtent b="0" l="0" r="0" t="0"/>
            <wp:docPr descr="Замена модулей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Замена модулей</w:t>
      </w:r>
    </w:p>
    <w:p>
      <w:pPr>
        <w:pStyle w:val="BodyText"/>
      </w:pPr>
      <w:r>
        <w:t xml:space="preserve">Переместим msk-pavlovskaya-mc-1 на территорию Pavlovskaya (в физической рабочей области Packet Tracer) (рис. 9). Подключим коммутатор msk-donskaya-sw-1 к msk-donskaya-mc-1 по витой паре, msk-donskaya-mc-1 и msk-pavlovskaya-mc-1 — по оптоволокну, msk-pavlovskaya-sw-1 к msk-pavlovskaya-mc-1 — по витой паре (рис. 10) и (рис. 11).</w:t>
      </w:r>
    </w:p>
    <w:p>
      <w:pPr>
        <w:pStyle w:val="CaptionedFigure"/>
      </w:pPr>
      <w:r>
        <w:drawing>
          <wp:inline>
            <wp:extent cx="3733800" cy="3011129"/>
            <wp:effectExtent b="0" l="0" r="0" t="0"/>
            <wp:docPr descr="Перенос в другую область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Перенос в другую область</w:t>
      </w:r>
    </w:p>
    <w:p>
      <w:pPr>
        <w:pStyle w:val="CaptionedFigure"/>
      </w:pPr>
      <w:r>
        <w:drawing>
          <wp:inline>
            <wp:extent cx="3733800" cy="1640255"/>
            <wp:effectExtent b="0" l="0" r="0" t="0"/>
            <wp:docPr descr="Подключение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Подключение</w:t>
      </w:r>
    </w:p>
    <w:p>
      <w:pPr>
        <w:pStyle w:val="CaptionedFigure"/>
      </w:pPr>
      <w:r>
        <w:drawing>
          <wp:inline>
            <wp:extent cx="3733800" cy="1560619"/>
            <wp:effectExtent b="0" l="0" r="0" t="0"/>
            <wp:docPr descr="Параметры соединения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Параметры соединения</w:t>
      </w:r>
    </w:p>
    <w:p>
      <w:pPr>
        <w:pStyle w:val="BodyText"/>
      </w:pPr>
      <w:r>
        <w:t xml:space="preserve">Убедимся в работоспособности соединения между msk-donskaya-sw-1 и msk-pavlovskaya-sw-1. Соединение работоспособно (рис. 12).</w:t>
      </w:r>
    </w:p>
    <w:p>
      <w:pPr>
        <w:pStyle w:val="CaptionedFigure"/>
      </w:pPr>
      <w:r>
        <w:drawing>
          <wp:inline>
            <wp:extent cx="3733800" cy="1266825"/>
            <wp:effectExtent b="0" l="0" r="0" t="0"/>
            <wp:docPr descr="Замена модулей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модулей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получила навыки работы с физической рабочей областью Packet Tracer, а также учла физические параметры сети.</w:t>
      </w:r>
    </w:p>
    <w:bookmarkEnd w:id="59"/>
    <w:bookmarkStart w:id="6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Перечислите возможные среды передачи данных. На какие характеристики среды передачи данных следует обращать внимание при планировании сети?</w:t>
      </w:r>
    </w:p>
    <w:p>
      <w:pPr>
        <w:pStyle w:val="FirstParagraph"/>
      </w:pPr>
      <w:r>
        <w:t xml:space="preserve">Существуют разные среды передачи данных, например, проводная (витая пара, коаксиальный кабель, оптоволокно), беспроводная (Wi-Fi, Bluetooth, сотовая связь).</w:t>
      </w:r>
    </w:p>
    <w:p>
      <w:pPr>
        <w:pStyle w:val="BodyText"/>
      </w:pPr>
      <w:r>
        <w:t xml:space="preserve">При выборе оптимального типа носителя следует знать следующие характеристики среды передачи данных:</w:t>
      </w:r>
    </w:p>
    <w:p>
      <w:pPr>
        <w:pStyle w:val="Compact"/>
        <w:numPr>
          <w:ilvl w:val="0"/>
          <w:numId w:val="1002"/>
        </w:numPr>
      </w:pPr>
      <w:r>
        <w:t xml:space="preserve">стоимость;</w:t>
      </w:r>
    </w:p>
    <w:p>
      <w:pPr>
        <w:pStyle w:val="Compact"/>
        <w:numPr>
          <w:ilvl w:val="0"/>
          <w:numId w:val="1002"/>
        </w:numPr>
      </w:pPr>
      <w:r>
        <w:t xml:space="preserve">сложность установки;</w:t>
      </w:r>
    </w:p>
    <w:p>
      <w:pPr>
        <w:pStyle w:val="Compact"/>
        <w:numPr>
          <w:ilvl w:val="0"/>
          <w:numId w:val="1002"/>
        </w:numPr>
      </w:pPr>
      <w:r>
        <w:t xml:space="preserve">пропускную способность;</w:t>
      </w:r>
    </w:p>
    <w:p>
      <w:pPr>
        <w:pStyle w:val="Compact"/>
        <w:numPr>
          <w:ilvl w:val="0"/>
          <w:numId w:val="1002"/>
        </w:numPr>
      </w:pPr>
      <w:r>
        <w:t xml:space="preserve">затухание сигнала;</w:t>
      </w:r>
    </w:p>
    <w:p>
      <w:pPr>
        <w:pStyle w:val="Compact"/>
        <w:numPr>
          <w:ilvl w:val="0"/>
          <w:numId w:val="1002"/>
        </w:numPr>
      </w:pPr>
      <w:r>
        <w:t xml:space="preserve">подверженность электромагнитным помехам (EMI, Electro Magnetic Interference);</w:t>
      </w:r>
    </w:p>
    <w:p>
      <w:pPr>
        <w:pStyle w:val="Compact"/>
        <w:numPr>
          <w:ilvl w:val="0"/>
          <w:numId w:val="1002"/>
        </w:numPr>
      </w:pPr>
      <w:r>
        <w:t xml:space="preserve">возможность несанкционированного прослушивания.</w:t>
      </w:r>
    </w:p>
    <w:p>
      <w:pPr>
        <w:pStyle w:val="Compact"/>
        <w:numPr>
          <w:ilvl w:val="0"/>
          <w:numId w:val="1003"/>
        </w:numPr>
      </w:pPr>
      <w:r>
        <w:t xml:space="preserve">Перечислите категории витой пары. Чем они отличаются? Какая категория в каких условиях может применяться?</w:t>
      </w:r>
    </w:p>
    <w:p>
      <w:pPr>
        <w:pStyle w:val="FirstParagraph"/>
      </w:pPr>
      <w:r>
        <w:t xml:space="preserve">Класс проводов и кабелей всегда определяет какой-то общепринятый стандарт. В случае с витой парой таких стандартов два: ISO 11801 и TIA-EIA-568B. Первый — международный, согласно нему существует 8 классов кабелей UTP: A, B, C, D, E, EA, F, FA. Второй — американский, по нему UTP кабели ранжируются не по классам, а по категориям, которых также восемь. Категорию в маркировке продукции принято обозначать сокращением Cat, после которого цифрой указывает номер категории.</w:t>
      </w:r>
    </w:p>
    <w:p>
      <w:pPr>
        <w:pStyle w:val="BodyText"/>
      </w:pPr>
      <w:r>
        <w:t xml:space="preserve">Описание классов витой пары</w:t>
      </w:r>
    </w:p>
    <w:p>
      <w:pPr>
        <w:pStyle w:val="Compact"/>
        <w:numPr>
          <w:ilvl w:val="0"/>
          <w:numId w:val="1004"/>
        </w:numPr>
      </w:pPr>
      <w:r>
        <w:t xml:space="preserve">Кабель 1 класса (Cat 1) состоит из всего одной пары проводников и в настоящее время не используется из-за плохого сопротивления помехам и низкой частоты передачи данных.</w:t>
      </w:r>
    </w:p>
    <w:p>
      <w:pPr>
        <w:pStyle w:val="Compact"/>
        <w:numPr>
          <w:ilvl w:val="0"/>
          <w:numId w:val="1004"/>
        </w:numPr>
      </w:pPr>
      <w:r>
        <w:t xml:space="preserve">Кабель 2 класса (Cat 2) обеспечивает обмен данными на скорости до 4 Мбит/с, чего достаточно, например, для Token Ring и Arcnet. Но в последнее время кабели, состоящие всего из двух пар проводников разве что изредка встречаются на участках телефонных линий.</w:t>
      </w:r>
    </w:p>
    <w:p>
      <w:pPr>
        <w:pStyle w:val="Compact"/>
        <w:numPr>
          <w:ilvl w:val="0"/>
          <w:numId w:val="1004"/>
        </w:numPr>
      </w:pPr>
      <w:r>
        <w:t xml:space="preserve">Кабель 3 класса (Cat 3) мощнее предшественников, он способен обеспечивать обмен данными на скорости потока до 10 Мбит/сек, а при использовании 100BASE-T — до 100 Мбит/с. На сегодня основная сфера его применения — телефония.</w:t>
      </w:r>
    </w:p>
    <w:p>
      <w:pPr>
        <w:pStyle w:val="Compact"/>
        <w:numPr>
          <w:ilvl w:val="0"/>
          <w:numId w:val="1004"/>
        </w:numPr>
      </w:pPr>
      <w:r>
        <w:t xml:space="preserve">Кабель класса 4 (Cat 4) — в свое время обеспечивал работу сетей 10BASE-T и 10BASE-T4, но в последние годы встречается только на еще не обновившихся участках локальных сетей крупных и слабо цифровизирующихся предприятий.</w:t>
      </w:r>
    </w:p>
    <w:p>
      <w:pPr>
        <w:pStyle w:val="Compact"/>
        <w:numPr>
          <w:ilvl w:val="0"/>
          <w:numId w:val="1004"/>
        </w:numPr>
      </w:pPr>
      <w:r>
        <w:t xml:space="preserve">Кабель 5 класса D (Cat 5) — четырехпарный кабель с возможностью организации потока скоростью до 1000 Мбит/с. Подходит и для локальных сетей, и для телефонии. На сегодня оптимален по соотношению цены и качества.</w:t>
      </w:r>
    </w:p>
    <w:p>
      <w:pPr>
        <w:pStyle w:val="Compact"/>
        <w:numPr>
          <w:ilvl w:val="0"/>
          <w:numId w:val="1004"/>
        </w:numPr>
      </w:pPr>
      <w:r>
        <w:t xml:space="preserve">Кабель 6 класса (Cat 6, класс E) — «разгоняет» данные до 10 Гбит/с при длине сегмента до 55 метров и прочих ограничениях, но тем не менее еще долго будет считаться наиболее подходящим решением для Fast Ethernet и 10 Gigabit Ethernet. Cat 6a — «старший брат» шестерки, более стабильный, а потому выдает те же характеристики на сегментах до 100 метров, тем самым упрощая прокладку и обеспечивая меньшую сегментацию сети.</w:t>
      </w:r>
    </w:p>
    <w:p>
      <w:pPr>
        <w:pStyle w:val="Compact"/>
        <w:numPr>
          <w:ilvl w:val="0"/>
          <w:numId w:val="1004"/>
        </w:numPr>
      </w:pPr>
      <w:r>
        <w:t xml:space="preserve">Витая пара 7 класса (Cat 7, класс F) отличается от предыдущей категории наличием отдельных экранов на каждую пару, а также общего защитного экрана. При этом рабочая частота кабеля колеблется в диапазоне 600–700 МГц — достаточно для скоростной передачи данных в локальной сети, системе видеонаблюдения, безопасности. 7A —</w:t>
      </w:r>
      <w:r>
        <w:t xml:space="preserve"> </w:t>
      </w:r>
      <w:r>
        <w:t xml:space="preserve">“</w:t>
      </w:r>
      <w:r>
        <w:t xml:space="preserve">старший брат</w:t>
      </w:r>
      <w:r>
        <w:t xml:space="preserve">”</w:t>
      </w:r>
      <w:r>
        <w:t xml:space="preserve"> </w:t>
      </w:r>
      <w:r>
        <w:t xml:space="preserve">с большей частотой (до 1200 МГц) и в 4 раза большей скоростью передачи данных, за счет чего 7a (она же — класс FA) подходит для использования в высокоскоростных сетях 40 Gigabit Ethernet.</w:t>
      </w:r>
    </w:p>
    <w:p>
      <w:pPr>
        <w:pStyle w:val="Compact"/>
        <w:numPr>
          <w:ilvl w:val="0"/>
          <w:numId w:val="1004"/>
        </w:numPr>
      </w:pPr>
      <w:r>
        <w:t xml:space="preserve">Кабели класса 8 позволяют передавать данные со скоростью до 100 Гбит/с, что пока не используется широко, но скоро будет повсеместно внедряться для повышения качества обмена данными, например, в системах автоматизации для взаимодействия узлов в реальном времени.</w:t>
      </w:r>
    </w:p>
    <w:p>
      <w:pPr>
        <w:pStyle w:val="FirstParagraph"/>
      </w:pPr>
      <w:r>
        <w:t xml:space="preserve">Таким образом, для большинства задач оптимальным выбором будут кабели «витая пара» категорий 5, 5а, 6 и 6а.</w:t>
      </w:r>
    </w:p>
    <w:p>
      <w:pPr>
        <w:pStyle w:val="Compact"/>
        <w:numPr>
          <w:ilvl w:val="0"/>
          <w:numId w:val="1005"/>
        </w:numPr>
      </w:pPr>
      <w:r>
        <w:t xml:space="preserve">В чем отличие одномодового и многомодового оптоволокна? Какой тип кабеля в каких условиях может применяться?</w:t>
      </w:r>
    </w:p>
    <w:p>
      <w:pPr>
        <w:pStyle w:val="FirstParagraph"/>
      </w:pPr>
      <w:r>
        <w:t xml:space="preserve">Одномодовое оптоволокно передает свет в одном направлении, многомодовое - в нескольких. Одномодовое используется на большие расстояния, многомодовое - на короткие.</w:t>
      </w:r>
    </w:p>
    <w:p>
      <w:pPr>
        <w:pStyle w:val="Compact"/>
        <w:numPr>
          <w:ilvl w:val="0"/>
          <w:numId w:val="1006"/>
        </w:numPr>
      </w:pPr>
      <w:r>
        <w:t xml:space="preserve">Какие разъёмы встречаются на патчах оптоволокна? Чем они отличаются?</w:t>
      </w:r>
    </w:p>
    <w:p>
      <w:pPr>
        <w:pStyle w:val="FirstParagraph"/>
      </w:pPr>
      <w:r>
        <w:t xml:space="preserve">Разъемы на патчах оптоволокна: LC, SC, ST. Они различаются по типу соединения. LC - для высокоскоростных сетей, SC и ST - для обычных сетей.</w:t>
      </w:r>
    </w:p>
    <w:bookmarkEnd w:id="60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Start w:id="61" w:name="ref-netadm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Администрирование сетевых подсистем. Лабораторный практикум : учебное пособие. Москва: РУДН, 2021. 137 с.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Ищенко Ирина НПИбд-02-22</dc:creator>
  <dc:language>ru-RU</dc:language>
  <cp:keywords/>
  <dcterms:created xsi:type="dcterms:W3CDTF">2025-03-27T18:18:45Z</dcterms:created>
  <dcterms:modified xsi:type="dcterms:W3CDTF">2025-03-27T18:18:45Z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Администрирование локальных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