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jpg" ContentType="image/jpe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0"/>
          <w:numId w:val="1002"/>
        </w:numPr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pStyle w:val="Compact"/>
        <w:numPr>
          <w:ilvl w:val="0"/>
          <w:numId w:val="1002"/>
        </w:numPr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pStyle w:val="Compact"/>
        <w:numPr>
          <w:ilvl w:val="0"/>
          <w:numId w:val="1002"/>
        </w:numPr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pStyle w:val="Compact"/>
        <w:numPr>
          <w:ilvl w:val="0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pStyle w:val="Compact"/>
        <w:numPr>
          <w:ilvl w:val="0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0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0"/>
          <w:numId w:val="1002"/>
        </w:numPr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pStyle w:val="Compact"/>
        <w:numPr>
          <w:ilvl w:val="0"/>
          <w:numId w:val="1003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3"/>
        </w:numPr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подключим ноутбук администратора с именем admin к сети к other-donskaya-1 с тем, чтобы разрешить ему потом любые действия, связанные с управлением сетью. Для этого подсоединим ноутбук к порту 24 коммутатора msk-donskaya-sw-4 (рис. 1) и присвоим ему статический адрес 10.128.6.200 (рис. 2), указав в качестве gateway-адреса 10.128.6.1 и адреса</w:t>
      </w:r>
      <w:r>
        <w:t xml:space="preserve"> </w:t>
      </w:r>
      <w:r>
        <w:t xml:space="preserve">DNS-сервера 10.128.0.5 (рис. 3).</w:t>
      </w:r>
    </w:p>
    <w:p>
      <w:pPr>
        <w:pStyle w:val="CaptionedFigure"/>
      </w:pPr>
      <w:r>
        <w:drawing>
          <wp:inline>
            <wp:extent cx="3733800" cy="2132505"/>
            <wp:effectExtent b="0" l="0" r="0" t="0"/>
            <wp:docPr descr="Добавление ноутбу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ноутбука</w:t>
      </w:r>
    </w:p>
    <w:p>
      <w:pPr>
        <w:pStyle w:val="CaptionedFigure"/>
      </w:pPr>
      <w:r>
        <w:drawing>
          <wp:inline>
            <wp:extent cx="3733800" cy="1562588"/>
            <wp:effectExtent b="0" l="0" r="0" t="0"/>
            <wp:docPr descr="IP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IP</w:t>
      </w:r>
    </w:p>
    <w:p>
      <w:pPr>
        <w:pStyle w:val="CaptionedFigure"/>
      </w:pPr>
      <w:r>
        <w:drawing>
          <wp:inline>
            <wp:extent cx="3733800" cy="1730734"/>
            <wp:effectExtent b="0" l="0" r="0" t="0"/>
            <wp:docPr descr="Шлюз и адрес DNS-серве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Шлюз и адрес DNS-сервера</w:t>
      </w:r>
    </w:p>
    <w:p>
      <w:pPr>
        <w:pStyle w:val="BodyText"/>
      </w:pPr>
      <w:r>
        <w:t xml:space="preserve">Проверим доступность устройств до настройки маршрутизатора (рис. 4).</w:t>
      </w:r>
    </w:p>
    <w:p>
      <w:pPr>
        <w:pStyle w:val="CaptionedFigure"/>
      </w:pPr>
      <w:r>
        <w:drawing>
          <wp:inline>
            <wp:extent cx="3733800" cy="3919365"/>
            <wp:effectExtent b="0" l="0" r="0" t="0"/>
            <wp:docPr descr="Проверка пинга до настройк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пинга до настройки</w:t>
      </w:r>
    </w:p>
    <w:p>
      <w:pPr>
        <w:pStyle w:val="BodyText"/>
      </w:pPr>
      <w:r>
        <w:t xml:space="preserve">Настроим доступа к web-серверу по порту tcp 80 (рис. 5).</w:t>
      </w:r>
    </w:p>
    <w:p>
      <w:pPr>
        <w:pStyle w:val="CaptionedFigure"/>
      </w:pPr>
      <w:r>
        <w:drawing>
          <wp:inline>
            <wp:extent cx="3733800" cy="931333"/>
            <wp:effectExtent b="0" l="0" r="0" t="0"/>
            <wp:docPr descr="Доступ к web-серверу по tcp 8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Доступ к web-серверу по tcp 80</w:t>
      </w:r>
    </w:p>
    <w:p>
      <w:pPr>
        <w:pStyle w:val="BodyText"/>
      </w:pPr>
      <w:r>
        <w:t xml:space="preserve">Добавим список управления доступом к интерфейсу (рис. 6).</w:t>
      </w:r>
    </w:p>
    <w:p>
      <w:pPr>
        <w:pStyle w:val="CaptionedFigure"/>
      </w:pPr>
      <w:r>
        <w:drawing>
          <wp:inline>
            <wp:extent cx="3733800" cy="315864"/>
            <wp:effectExtent b="0" l="0" r="0" t="0"/>
            <wp:docPr descr="Список управления доступом к интерфейс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управления доступом к интерфейсу</w:t>
      </w:r>
    </w:p>
    <w:p>
      <w:pPr>
        <w:pStyle w:val="BodyText"/>
      </w:pPr>
      <w:r>
        <w:t xml:space="preserve">Проверим, что доступ к web-серверу есть через протокол HTTP (введя в строке браузера хоста ip-адрес web-сервера) (рис. 3).</w:t>
      </w:r>
    </w:p>
    <w:p>
      <w:pPr>
        <w:pStyle w:val="CaptionedFigure"/>
      </w:pPr>
      <w:r>
        <w:drawing>
          <wp:inline>
            <wp:extent cx="3733800" cy="1585766"/>
            <wp:effectExtent b="0" l="0" r="0" t="0"/>
            <wp:docPr descr="Проверка доступа по HTT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доступа по HTTP</w:t>
      </w:r>
    </w:p>
    <w:p>
      <w:pPr>
        <w:pStyle w:val="BodyText"/>
      </w:pPr>
      <w:r>
        <w:t xml:space="preserve">При этом команда ping будет демонстрировать недоступность web-сервера как по имени, так и по ip-адресу web-сервера (рис. 8).</w:t>
      </w:r>
    </w:p>
    <w:p>
      <w:pPr>
        <w:pStyle w:val="CaptionedFigure"/>
      </w:pPr>
      <w:r>
        <w:drawing>
          <wp:inline>
            <wp:extent cx="3733800" cy="2262187"/>
            <wp:effectExtent b="0" l="0" r="0" t="0"/>
            <wp:docPr descr="Проверка пингом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пингом</w:t>
      </w:r>
    </w:p>
    <w:p>
      <w:pPr>
        <w:pStyle w:val="BodyText"/>
      </w:pPr>
      <w:r>
        <w:t xml:space="preserve">Настроим дополнительный доступ для администратора по протоколам Telnet и FTP (рис. 9).</w:t>
      </w:r>
    </w:p>
    <w:p>
      <w:pPr>
        <w:pStyle w:val="CaptionedFigure"/>
      </w:pPr>
      <w:r>
        <w:drawing>
          <wp:inline>
            <wp:extent cx="3733800" cy="878998"/>
            <wp:effectExtent b="0" l="0" r="0" t="0"/>
            <wp:docPr descr="Доступ для admin по Telnet и FT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Доступ для admin по Telnet и FTP</w:t>
      </w:r>
    </w:p>
    <w:p>
      <w:pPr>
        <w:pStyle w:val="BodyText"/>
      </w:pPr>
      <w:r>
        <w:t xml:space="preserve">Убедимся, что с узла с ip-адресом 10.128.6.200 есть доступ по протоколу FTP. Для этого в командной строке устройства администратора введем ftp 10.128.0.2, а затем по запросу имя пользователя cisco и пароль cisco (рис. 10).</w:t>
      </w:r>
    </w:p>
    <w:p>
      <w:pPr>
        <w:pStyle w:val="CaptionedFigure"/>
      </w:pPr>
      <w:r>
        <w:drawing>
          <wp:inline>
            <wp:extent cx="3733800" cy="1678762"/>
            <wp:effectExtent b="0" l="0" r="0" t="0"/>
            <wp:docPr descr="Проверка FTP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FTP</w:t>
      </w:r>
    </w:p>
    <w:p>
      <w:pPr>
        <w:pStyle w:val="BodyText"/>
      </w:pPr>
      <w:r>
        <w:t xml:space="preserve">Попробуем провести аналогичную процедуру с другого устройства сети. Убедимся, что доступ будет запрещён (рис. 11).</w:t>
      </w:r>
    </w:p>
    <w:p>
      <w:pPr>
        <w:pStyle w:val="CaptionedFigure"/>
      </w:pPr>
      <w:r>
        <w:drawing>
          <wp:inline>
            <wp:extent cx="3733800" cy="2056131"/>
            <wp:effectExtent b="0" l="0" r="0" t="0"/>
            <wp:docPr descr="Проверка FTP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FTP</w:t>
      </w:r>
    </w:p>
    <w:p>
      <w:pPr>
        <w:pStyle w:val="BodyText"/>
      </w:pPr>
      <w:r>
        <w:t xml:space="preserve">Настроим доступ к файловому серверу. Настроим доступ к почтовому серверу, доступ к DNS-серверу. Разрешим icmp-запросы (рис. 12).</w:t>
      </w:r>
    </w:p>
    <w:p>
      <w:pPr>
        <w:pStyle w:val="CaptionedFigure"/>
      </w:pPr>
      <w:r>
        <w:drawing>
          <wp:inline>
            <wp:extent cx="3733800" cy="2328444"/>
            <wp:effectExtent b="0" l="0" r="0" t="0"/>
            <wp:docPr descr="Файловый, почтовый и DNS сервер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Файловый, почтовый и DNS сервер</w:t>
      </w:r>
    </w:p>
    <w:p>
      <w:pPr>
        <w:pStyle w:val="BodyText"/>
      </w:pPr>
      <w:r>
        <w:t xml:space="preserve">Настроим доступ для сети Other (требуется наложить ограничение на исходящий из сети Other трафик, который по отношению к маршрутизатору msk-donskaya-gw-1 является входящим трафиком) (рис. 13).</w:t>
      </w:r>
    </w:p>
    <w:p>
      <w:pPr>
        <w:pStyle w:val="CaptionedFigure"/>
      </w:pPr>
      <w:r>
        <w:drawing>
          <wp:inline>
            <wp:extent cx="3733800" cy="1293271"/>
            <wp:effectExtent b="0" l="0" r="0" t="0"/>
            <wp:docPr descr="Доступ для сети Other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Доступ для сети Other</w:t>
      </w:r>
    </w:p>
    <w:p>
      <w:pPr>
        <w:pStyle w:val="BodyText"/>
      </w:pPr>
      <w:r>
        <w:t xml:space="preserve">Настроим доступ администратора к сети сетевого оборудования (рис. 14).</w:t>
      </w:r>
    </w:p>
    <w:p>
      <w:pPr>
        <w:pStyle w:val="CaptionedFigure"/>
      </w:pPr>
      <w:r>
        <w:drawing>
          <wp:inline>
            <wp:extent cx="3733800" cy="781752"/>
            <wp:effectExtent b="0" l="0" r="0" t="0"/>
            <wp:docPr descr="Доступ к сети сетевого оборудования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Доступ к сети сетевого оборудования</w:t>
      </w:r>
    </w:p>
    <w:p>
      <w:pPr>
        <w:pStyle w:val="BodyText"/>
      </w:pPr>
      <w:r>
        <w:t xml:space="preserve">Проверим корректность установленных правил доступа, попытавшись получить доступ по различным протоколам с разных устройств сети к подсети серверов и подсети сетевого оборудования. Откроем терминал dep-donskaya-1 и пропингуем разные устройства. Увидим, что серверы и другие оконечные устройства пингуются, однако к сетевому оборудованию доступа нет, как и должно быть. (рис. 15).</w:t>
      </w:r>
    </w:p>
    <w:p>
      <w:pPr>
        <w:pStyle w:val="CaptionedFigure"/>
      </w:pPr>
      <w:r>
        <w:drawing>
          <wp:inline>
            <wp:extent cx="3733800" cy="4281669"/>
            <wp:effectExtent b="0" l="0" r="0" t="0"/>
            <wp:docPr descr="Проверка доступа" title="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доступа</w:t>
      </w:r>
    </w:p>
    <w:p>
      <w:pPr>
        <w:pStyle w:val="BodyText"/>
      </w:pPr>
      <w:r>
        <w:t xml:space="preserve">Откроем терминал dk-donskaya-dmbelicheva-1 и пропингуем разные устройства. Увидим, что серверы и другие оконечные устройства пингуются, однако к сетевому оборудованию доступа нет, как и должно быть. Также попробуем подключится к web-серверу по ftp, доступ закрыт (рис. 16).</w:t>
      </w:r>
    </w:p>
    <w:p>
      <w:pPr>
        <w:pStyle w:val="CaptionedFigure"/>
      </w:pPr>
      <w:r>
        <w:drawing>
          <wp:inline>
            <wp:extent cx="3733800" cy="5046498"/>
            <wp:effectExtent b="0" l="0" r="0" t="0"/>
            <wp:docPr descr="Проверка доступа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доступа</w:t>
      </w:r>
    </w:p>
    <w:p>
      <w:pPr>
        <w:pStyle w:val="BodyText"/>
      </w:pPr>
      <w:r>
        <w:t xml:space="preserve">Теперь проверим корректность настроенного доступа с admin. Есть доступ к серверу по ftp, а также успешно пингуется сетевое оборудование (рис. 17).</w:t>
      </w:r>
    </w:p>
    <w:p>
      <w:pPr>
        <w:pStyle w:val="CaptionedFigure"/>
      </w:pPr>
      <w:r>
        <w:drawing>
          <wp:inline>
            <wp:extent cx="3733800" cy="4433581"/>
            <wp:effectExtent b="0" l="0" r="0" t="0"/>
            <wp:docPr descr="Проверка доступа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доступа</w:t>
      </w:r>
    </w:p>
    <w:p>
      <w:pPr>
        <w:pStyle w:val="BodyText"/>
      </w:pPr>
      <w:r>
        <w:t xml:space="preserve">Разместим еще один ноутбук admin на Павловской (рис. 18).</w:t>
      </w:r>
    </w:p>
    <w:p>
      <w:pPr>
        <w:pStyle w:val="CaptionedFigure"/>
      </w:pPr>
      <w:r>
        <w:drawing>
          <wp:inline>
            <wp:extent cx="3733800" cy="2320455"/>
            <wp:effectExtent b="0" l="0" r="0" t="0"/>
            <wp:docPr descr="Размещение устройства" title="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Размещение устройства</w:t>
      </w:r>
    </w:p>
    <w:p>
      <w:pPr>
        <w:pStyle w:val="BodyText"/>
      </w:pPr>
      <w:r>
        <w:t xml:space="preserve">Разрешим администратору из сети Other на Павловской действия, аналогичные действиям администратора сети Other на Донской (рис. 19).</w:t>
      </w:r>
    </w:p>
    <w:p>
      <w:pPr>
        <w:pStyle w:val="CaptionedFigure"/>
      </w:pPr>
      <w:r>
        <w:drawing>
          <wp:inline>
            <wp:extent cx="3733800" cy="1726974"/>
            <wp:effectExtent b="0" l="0" r="0" t="0"/>
            <wp:docPr descr="Правила" title="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Правила</w:t>
      </w:r>
    </w:p>
    <w:p>
      <w:pPr>
        <w:pStyle w:val="BodyText"/>
      </w:pPr>
      <w:r>
        <w:t xml:space="preserve">Просмотрим список правил в нашей сети. После выполнения была изменена обратная маска в правилах для их корректной работы (рис. 20).</w:t>
      </w:r>
    </w:p>
    <w:p>
      <w:pPr>
        <w:pStyle w:val="CaptionedFigure"/>
      </w:pPr>
      <w:r>
        <w:drawing>
          <wp:inline>
            <wp:extent cx="3733800" cy="1891082"/>
            <wp:effectExtent b="0" l="0" r="0" t="0"/>
            <wp:docPr descr="Список правил" title="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Список правил</w:t>
      </w:r>
    </w:p>
    <w:p>
      <w:pPr>
        <w:pStyle w:val="BodyText"/>
      </w:pPr>
      <w:r>
        <w:t xml:space="preserve">Проверим работу устройства администратора (рис. 21).</w:t>
      </w:r>
    </w:p>
    <w:p>
      <w:pPr>
        <w:pStyle w:val="CaptionedFigure"/>
      </w:pPr>
      <w:r>
        <w:drawing>
          <wp:inline>
            <wp:extent cx="3733800" cy="4100006"/>
            <wp:effectExtent b="0" l="0" r="0" t="0"/>
            <wp:docPr descr="Проверка" title="" id="83" name="Picture"/>
            <a:graphic>
              <a:graphicData uri="http://schemas.openxmlformats.org/drawingml/2006/picture">
                <pic:pic>
                  <pic:nvPicPr>
                    <pic:cNvPr descr="image/23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настройку прав доступа пользователей к ресурсам сети.</w:t>
      </w:r>
    </w:p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4"/>
        </w:numPr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</w:t>
      </w:r>
      <w:r>
        <w:t xml:space="preserve"> </w:t>
      </w:r>
      <w:r>
        <w:rPr>
          <w:rStyle w:val="VerbatimChar"/>
        </w:rPr>
        <w:t xml:space="preserve">permit tcp any host 10.128.0.4 eq pop3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Каким образом можно изменить порядок применения правил в списке контроля доступа?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87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8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jp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Ищенко Ирина НПИбд-02-22</dc:creator>
  <dc:language>ru-RU</dc:language>
  <cp:keywords/>
  <dcterms:created xsi:type="dcterms:W3CDTF">2025-04-17T12:18:36Z</dcterms:created>
  <dcterms:modified xsi:type="dcterms:W3CDTF">2025-04-17T12:18:36Z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