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Админстрирование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настройку.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схемы L1 (рис. 1), L2 (рис. 2) и L3 (рис. 3) сети.</w:t>
      </w:r>
    </w:p>
    <w:p>
      <w:pPr>
        <w:pStyle w:val="CaptionedFigure"/>
      </w:pPr>
      <w:r>
        <w:drawing>
          <wp:inline>
            <wp:extent cx="3733800" cy="3773276"/>
            <wp:effectExtent b="0" l="0" r="0" t="0"/>
            <wp:docPr descr="L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L1</w:t>
      </w:r>
    </w:p>
    <w:p>
      <w:pPr>
        <w:pStyle w:val="CaptionedFigure"/>
      </w:pPr>
      <w:r>
        <w:drawing>
          <wp:inline>
            <wp:extent cx="3733800" cy="3780223"/>
            <wp:effectExtent b="0" l="0" r="0" t="0"/>
            <wp:docPr descr="L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L2</w:t>
      </w:r>
    </w:p>
    <w:p>
      <w:pPr>
        <w:pStyle w:val="CaptionedFigure"/>
      </w:pPr>
      <w:r>
        <w:drawing>
          <wp:inline>
            <wp:extent cx="3733800" cy="2843281"/>
            <wp:effectExtent b="0" l="0" r="0" t="0"/>
            <wp:docPr descr="L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L3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вашего проекта разместим согласно рис. 13.2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Присвоим названия размещённым объектам.</w:t>
      </w:r>
    </w:p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 технологии Fast Ethernet и оптоволокна соответственно (рис. 4).</w:t>
      </w:r>
    </w:p>
    <w:p>
      <w:pPr>
        <w:pStyle w:val="CaptionedFigure"/>
      </w:pPr>
      <w:r>
        <w:drawing>
          <wp:inline>
            <wp:extent cx="3733800" cy="1311529"/>
            <wp:effectExtent b="0" l="0" r="0" t="0"/>
            <wp:docPr descr="Замена модуле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Замена модулей</w:t>
      </w:r>
    </w:p>
    <w:p>
      <w:pPr>
        <w:pStyle w:val="BodyText"/>
      </w:pPr>
      <w:r>
        <w:t xml:space="preserve">На маршрутизаторе msk-q42-gw-1 добавим дополнительный интерфейс</w:t>
      </w:r>
      <w:r>
        <w:t xml:space="preserve"> </w:t>
      </w:r>
      <w:r>
        <w:t xml:space="preserve">NM-2FE2W (рис. 5).</w:t>
      </w:r>
    </w:p>
    <w:p>
      <w:pPr>
        <w:pStyle w:val="CaptionedFigure"/>
      </w:pPr>
      <w:r>
        <w:drawing>
          <wp:inline>
            <wp:extent cx="3733800" cy="1392081"/>
            <wp:effectExtent b="0" l="0" r="0" t="0"/>
            <wp:docPr descr="Дополнительный интерфейс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Дополнительный интерфейс</w:t>
      </w:r>
    </w:p>
    <w:p>
      <w:pPr>
        <w:pStyle w:val="BodyText"/>
      </w:pPr>
      <w:r>
        <w:t xml:space="preserve">В физической рабочей области Packet Tracer добавьте в г. Москва здание 42-го квартала, присвоим ему соответствующее название (рис. 6).</w:t>
      </w:r>
    </w:p>
    <w:p>
      <w:pPr>
        <w:pStyle w:val="CaptionedFigure"/>
      </w:pPr>
      <w:r>
        <w:drawing>
          <wp:inline>
            <wp:extent cx="3733800" cy="2326407"/>
            <wp:effectExtent b="0" l="0" r="0" t="0"/>
            <wp:docPr descr="Размещение квартала 42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квартала 42</w:t>
      </w:r>
    </w:p>
    <w:p>
      <w:pPr>
        <w:pStyle w:val="BodyText"/>
      </w:pPr>
      <w:r>
        <w:t xml:space="preserve">В физической рабочей области Packet Tracer добавим город Сочи</w:t>
      </w:r>
      <w:r>
        <w:t xml:space="preserve"> </w:t>
      </w:r>
      <w:r>
        <w:t xml:space="preserve">и в нём здание филиала, присвоим ему соответствующее название (рис. 7).</w:t>
      </w:r>
    </w:p>
    <w:p>
      <w:pPr>
        <w:pStyle w:val="CaptionedFigure"/>
      </w:pPr>
      <w:r>
        <w:drawing>
          <wp:inline>
            <wp:extent cx="3126864" cy="1208542"/>
            <wp:effectExtent b="0" l="0" r="0" t="0"/>
            <wp:docPr descr="Добавление Соч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64" cy="120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 филиала в соответствующие здания (рис. 8) и (рис. 9).</w:t>
      </w:r>
    </w:p>
    <w:p>
      <w:pPr>
        <w:pStyle w:val="CaptionedFigure"/>
      </w:pPr>
      <w:r>
        <w:drawing>
          <wp:inline>
            <wp:extent cx="3733800" cy="1592004"/>
            <wp:effectExtent b="0" l="0" r="0" t="0"/>
            <wp:docPr descr="Перенос оборудован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Перенос оборудования</w:t>
      </w:r>
    </w:p>
    <w:p>
      <w:pPr>
        <w:pStyle w:val="CaptionedFigure"/>
      </w:pPr>
      <w:r>
        <w:drawing>
          <wp:inline>
            <wp:extent cx="3733800" cy="2391696"/>
            <wp:effectExtent b="0" l="0" r="0" t="0"/>
            <wp:docPr descr="Перенос оборудован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Перенос оборудования</w:t>
      </w:r>
    </w:p>
    <w:p>
      <w:pPr>
        <w:pStyle w:val="BodyText"/>
      </w:pPr>
      <w:r>
        <w:t xml:space="preserve">Проведем соединение объектов согласно скорректированной вами схеме L1 (рис. 10).</w:t>
      </w:r>
    </w:p>
    <w:p>
      <w:pPr>
        <w:pStyle w:val="CaptionedFigure"/>
      </w:pPr>
      <w:r>
        <w:drawing>
          <wp:inline>
            <wp:extent cx="3733800" cy="1700402"/>
            <wp:effectExtent b="0" l="0" r="0" t="0"/>
            <wp:docPr descr="Сеть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Сеть</w:t>
      </w:r>
    </w:p>
    <w:p>
      <w:pPr>
        <w:pStyle w:val="BodyText"/>
      </w:pPr>
      <w:r>
        <w:t xml:space="preserve">Проведем первоначальную настройку оборудования (рис. 11), (рис. 12), (рис. 13), (рис. 14), (рис. 15) и (рис. 16).</w:t>
      </w:r>
    </w:p>
    <w:p>
      <w:pPr>
        <w:pStyle w:val="CaptionedFigure"/>
      </w:pPr>
      <w:r>
        <w:drawing>
          <wp:inline>
            <wp:extent cx="3733800" cy="2094265"/>
            <wp:effectExtent b="0" l="0" r="0" t="0"/>
            <wp:docPr descr="Первоначальная настройк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</w:t>
      </w:r>
    </w:p>
    <w:p>
      <w:pPr>
        <w:pStyle w:val="CaptionedFigure"/>
      </w:pPr>
      <w:r>
        <w:drawing>
          <wp:inline>
            <wp:extent cx="3733800" cy="2080839"/>
            <wp:effectExtent b="0" l="0" r="0" t="0"/>
            <wp:docPr descr="Первоначальная настройка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</w:t>
      </w:r>
    </w:p>
    <w:p>
      <w:pPr>
        <w:pStyle w:val="CaptionedFigure"/>
      </w:pPr>
      <w:r>
        <w:drawing>
          <wp:inline>
            <wp:extent cx="3733800" cy="2307695"/>
            <wp:effectExtent b="0" l="0" r="0" t="0"/>
            <wp:docPr descr="Первоначальная настройка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</w:t>
      </w:r>
    </w:p>
    <w:p>
      <w:pPr>
        <w:pStyle w:val="CaptionedFigure"/>
      </w:pPr>
      <w:r>
        <w:drawing>
          <wp:inline>
            <wp:extent cx="3733800" cy="2054207"/>
            <wp:effectExtent b="0" l="0" r="0" t="0"/>
            <wp:docPr descr="Первоначальная настройка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</w:t>
      </w:r>
    </w:p>
    <w:p>
      <w:pPr>
        <w:pStyle w:val="CaptionedFigure"/>
      </w:pPr>
      <w:r>
        <w:drawing>
          <wp:inline>
            <wp:extent cx="3733800" cy="2540988"/>
            <wp:effectExtent b="0" l="0" r="0" t="0"/>
            <wp:docPr descr="Первоначальная настройк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</w:t>
      </w:r>
    </w:p>
    <w:p>
      <w:pPr>
        <w:pStyle w:val="CaptionedFigure"/>
      </w:pPr>
      <w:r>
        <w:drawing>
          <wp:inline>
            <wp:extent cx="3733800" cy="2242055"/>
            <wp:effectExtent b="0" l="0" r="0" t="0"/>
            <wp:docPr descr="Первоначальная настройк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провела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74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Start w:id="75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Администрирование сетевых подсистем. Лабораторный практикум : учебное пособие. Москва: РУДН, 2021. 137 с.</w:t>
      </w:r>
    </w:p>
    <w:bookmarkEnd w:id="75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Ищенко Ирина НПИбд-02-22</dc:creator>
  <dc:language>ru-RU</dc:language>
  <cp:keywords/>
  <dcterms:created xsi:type="dcterms:W3CDTF">2025-05-09T22:36:39Z</dcterms:created>
  <dcterms:modified xsi:type="dcterms:W3CDTF">2025-05-09T22:36:39Z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