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квартале 42 в 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филиале в г. Сочи.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на территории квартала 42 в г.Москве.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NAT на маршрутизаторе msk-donskaya-gw-1.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Настроим линк между площадками. Настроим интерфейсы маршрутизатора, сделаем их транковыми (рис. 1).</w:t>
      </w:r>
    </w:p>
    <w:p>
      <w:pPr>
        <w:pStyle w:val="CaptionedFigure"/>
      </w:pPr>
      <w:r>
        <w:drawing>
          <wp:inline>
            <wp:extent cx="3733800" cy="2772623"/>
            <wp:effectExtent b="0" l="0" r="0" t="0"/>
            <wp:docPr descr="Настройка интерфейс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интерфейсов</w:t>
      </w:r>
    </w:p>
    <w:p>
      <w:pPr>
        <w:pStyle w:val="BodyText"/>
      </w:pPr>
      <w:r>
        <w:t xml:space="preserve">На маршрутизаторе территории Донская создадим субинтерфейсы для 5 и 6 VLAN, зададим IP-адрес маршрутизатора в этих VLAN (рис. 2).</w:t>
      </w:r>
    </w:p>
    <w:p>
      <w:pPr>
        <w:pStyle w:val="CaptionedFigure"/>
      </w:pPr>
      <w:r>
        <w:drawing>
          <wp:inline>
            <wp:extent cx="3733800" cy="2116738"/>
            <wp:effectExtent b="0" l="0" r="0" t="0"/>
            <wp:docPr descr="Настройка субинтерфейс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субинтерфейсов</w:t>
      </w:r>
    </w:p>
    <w:p>
      <w:pPr>
        <w:pStyle w:val="BodyText"/>
      </w:pPr>
      <w:r>
        <w:t xml:space="preserve">Настроим интерфейсы на маршрутизаторе квартала 42 (рис. 3).</w:t>
      </w:r>
    </w:p>
    <w:p>
      <w:pPr>
        <w:pStyle w:val="CaptionedFigure"/>
      </w:pPr>
      <w:r>
        <w:drawing>
          <wp:inline>
            <wp:extent cx="3733800" cy="1963730"/>
            <wp:effectExtent b="0" l="0" r="0" t="0"/>
            <wp:docPr descr="Настройка интерфейс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</w:t>
      </w:r>
    </w:p>
    <w:p>
      <w:pPr>
        <w:pStyle w:val="BodyText"/>
      </w:pPr>
      <w:r>
        <w:t xml:space="preserve">Сделаем транковыми порты интерфейсов коммутатора в Сочи и зададим VLAN 6 с именем sochi(рис. 4).</w:t>
      </w:r>
    </w:p>
    <w:p>
      <w:pPr>
        <w:pStyle w:val="CaptionedFigure"/>
      </w:pPr>
      <w:r>
        <w:drawing>
          <wp:inline>
            <wp:extent cx="3733800" cy="2331818"/>
            <wp:effectExtent b="0" l="0" r="0" t="0"/>
            <wp:docPr descr="Настройка интерфейс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</w:t>
      </w:r>
    </w:p>
    <w:p>
      <w:pPr>
        <w:pStyle w:val="BodyText"/>
      </w:pPr>
      <w:r>
        <w:t xml:space="preserve">Проведем настройку маршрутизатора (рис. 5).</w:t>
      </w:r>
    </w:p>
    <w:p>
      <w:pPr>
        <w:pStyle w:val="CaptionedFigure"/>
      </w:pPr>
      <w:r>
        <w:drawing>
          <wp:inline>
            <wp:extent cx="3733800" cy="1971207"/>
            <wp:effectExtent b="0" l="0" r="0" t="0"/>
            <wp:docPr descr="Настройка интерфейс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</w:t>
      </w:r>
    </w:p>
    <w:p>
      <w:pPr>
        <w:pStyle w:val="BodyText"/>
      </w:pPr>
      <w:r>
        <w:t xml:space="preserve">Создадим субинтерфейсы для 201 VLAN (основной) для 202 VLAN (для управления устройствами территории) и зададим IP-адреса (рис. 6).</w:t>
      </w:r>
    </w:p>
    <w:p>
      <w:pPr>
        <w:pStyle w:val="CaptionedFigure"/>
      </w:pPr>
      <w:r>
        <w:drawing>
          <wp:inline>
            <wp:extent cx="3733800" cy="2915485"/>
            <wp:effectExtent b="0" l="0" r="0" t="0"/>
            <wp:docPr descr="Настройка субинтерфейс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субинтерфейсов</w:t>
      </w:r>
    </w:p>
    <w:p>
      <w:pPr>
        <w:pStyle w:val="BodyText"/>
      </w:pPr>
      <w:r>
        <w:t xml:space="preserve">Зададим доступ оконечному устройству к VLAN 201 по f0/1 (рис. 7).</w:t>
      </w:r>
    </w:p>
    <w:p>
      <w:pPr>
        <w:pStyle w:val="CaptionedFigure"/>
      </w:pPr>
      <w:r>
        <w:drawing>
          <wp:inline>
            <wp:extent cx="3733800" cy="1655149"/>
            <wp:effectExtent b="0" l="0" r="0" t="0"/>
            <wp:docPr descr="Доступ к VLAN 201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Доступ к VLAN 201</w:t>
      </w:r>
    </w:p>
    <w:p>
      <w:pPr>
        <w:pStyle w:val="BodyText"/>
      </w:pPr>
      <w:r>
        <w:t xml:space="preserve">Создадим 202 и 301 VLAN для общежитий(рис. 8).</w:t>
      </w:r>
    </w:p>
    <w:p>
      <w:pPr>
        <w:pStyle w:val="CaptionedFigure"/>
      </w:pPr>
      <w:r>
        <w:drawing>
          <wp:inline>
            <wp:extent cx="3733800" cy="3086062"/>
            <wp:effectExtent b="0" l="0" r="0" t="0"/>
            <wp:docPr descr="Настройка VLAN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VLAN</w:t>
      </w:r>
    </w:p>
    <w:p>
      <w:pPr>
        <w:pStyle w:val="BodyText"/>
      </w:pPr>
      <w:r>
        <w:t xml:space="preserve">Сделаем транковым порт интерфейса и предоставим доступ к 301 VLAN(рис. 9).</w:t>
      </w:r>
    </w:p>
    <w:p>
      <w:pPr>
        <w:pStyle w:val="CaptionedFigure"/>
      </w:pPr>
      <w:r>
        <w:drawing>
          <wp:inline>
            <wp:extent cx="3733800" cy="1646266"/>
            <wp:effectExtent b="0" l="0" r="0" t="0"/>
            <wp:docPr descr="Настройка интерфейсов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интерфейсов</w:t>
      </w:r>
    </w:p>
    <w:p>
      <w:pPr>
        <w:pStyle w:val="BodyText"/>
      </w:pPr>
      <w:r>
        <w:t xml:space="preserve">Создадим субинтерфейсы на маршрутизаторе для 401 VLAN (основной), зададим IP. Повторим для VLAN 402 (для управления устройствами Сочи)(рис. 10).</w:t>
      </w:r>
    </w:p>
    <w:p>
      <w:pPr>
        <w:pStyle w:val="CaptionedFigure"/>
      </w:pPr>
      <w:r>
        <w:drawing>
          <wp:inline>
            <wp:extent cx="3733800" cy="1548440"/>
            <wp:effectExtent b="0" l="0" r="0" t="0"/>
            <wp:docPr descr="Настройка интерфейс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интерфейсов</w:t>
      </w:r>
    </w:p>
    <w:p>
      <w:pPr>
        <w:pStyle w:val="BodyText"/>
      </w:pPr>
      <w:r>
        <w:t xml:space="preserve">На коммутаторе зададим VLAN 401 и предоставим к нему доступ (рис. 11).</w:t>
      </w:r>
    </w:p>
    <w:p>
      <w:pPr>
        <w:pStyle w:val="CaptionedFigure"/>
      </w:pPr>
      <w:r>
        <w:drawing>
          <wp:inline>
            <wp:extent cx="3733800" cy="1845876"/>
            <wp:effectExtent b="0" l="0" r="0" t="0"/>
            <wp:docPr descr="Настройка интерфейсо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интерфейсов</w:t>
      </w:r>
    </w:p>
    <w:p>
      <w:pPr>
        <w:pStyle w:val="BodyText"/>
      </w:pPr>
      <w:r>
        <w:t xml:space="preserve">Зададим маршруты по умолчанию на маршрутизаторе Донской к маршрутизаторам квартала 42 и Сочи, а также в обратную сторону (рис. 12), (рис. 13) и (рис. 14).</w:t>
      </w:r>
    </w:p>
    <w:p>
      <w:pPr>
        <w:pStyle w:val="CaptionedFigure"/>
      </w:pPr>
      <w:r>
        <w:drawing>
          <wp:inline>
            <wp:extent cx="3733800" cy="573188"/>
            <wp:effectExtent b="0" l="0" r="0" t="0"/>
            <wp:docPr descr="Маршрутизация между площадкам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Маршрутизация между площадками</w:t>
      </w:r>
    </w:p>
    <w:p>
      <w:pPr>
        <w:pStyle w:val="CaptionedFigure"/>
      </w:pPr>
      <w:r>
        <w:drawing>
          <wp:inline>
            <wp:extent cx="3733800" cy="664420"/>
            <wp:effectExtent b="0" l="0" r="0" t="0"/>
            <wp:docPr descr="Маршрутизация между площадками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Маршрутизация между площадками</w:t>
      </w:r>
    </w:p>
    <w:p>
      <w:pPr>
        <w:pStyle w:val="CaptionedFigure"/>
      </w:pPr>
      <w:r>
        <w:drawing>
          <wp:inline>
            <wp:extent cx="3733800" cy="445826"/>
            <wp:effectExtent b="0" l="0" r="0" t="0"/>
            <wp:docPr descr="Маршрутизация между площадками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Маршрутизация между площадками</w:t>
      </w:r>
    </w:p>
    <w:p>
      <w:pPr>
        <w:pStyle w:val="BodyText"/>
      </w:pPr>
      <w:r>
        <w:t xml:space="preserve">Маршруты между маршрутизаторами в квартале 42 (рис. 15) и (рис. 16).</w:t>
      </w:r>
    </w:p>
    <w:p>
      <w:pPr>
        <w:pStyle w:val="CaptionedFigure"/>
      </w:pPr>
      <w:r>
        <w:drawing>
          <wp:inline>
            <wp:extent cx="3733800" cy="291828"/>
            <wp:effectExtent b="0" l="0" r="0" t="0"/>
            <wp:docPr descr="Маршрутизация между площадками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Маршрутизация между площадками</w:t>
      </w:r>
    </w:p>
    <w:p>
      <w:pPr>
        <w:pStyle w:val="CaptionedFigure"/>
      </w:pPr>
      <w:r>
        <w:drawing>
          <wp:inline>
            <wp:extent cx="3733800" cy="396884"/>
            <wp:effectExtent b="0" l="0" r="0" t="0"/>
            <wp:docPr descr="Маршрутизация между площадками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Маршрутизация между площадками</w:t>
      </w:r>
    </w:p>
    <w:p>
      <w:pPr>
        <w:pStyle w:val="BodyText"/>
      </w:pPr>
      <w:r>
        <w:t xml:space="preserve">Настроим NAT. Разрешим оконечным устройствам доступ ко всему, дополнив список (рис. 17).</w:t>
      </w:r>
    </w:p>
    <w:p>
      <w:pPr>
        <w:pStyle w:val="CaptionedFigure"/>
      </w:pPr>
      <w:r>
        <w:drawing>
          <wp:inline>
            <wp:extent cx="3733800" cy="1630192"/>
            <wp:effectExtent b="0" l="0" r="0" t="0"/>
            <wp:docPr descr="Настройка NAT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NAT</w:t>
      </w:r>
    </w:p>
    <w:bookmarkEnd w:id="73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настроила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Start w:id="74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Приведите пример настройки статической маршрутизации между двумя подсетями организации.</w:t>
      </w:r>
    </w:p>
    <w:p>
      <w:pPr>
        <w:pStyle w:val="SourceCode"/>
      </w:pPr>
      <w:r>
        <w:rPr>
          <w:rStyle w:val="VerbatimChar"/>
        </w:rPr>
        <w:t xml:space="preserve">(config)# ip route 192.168.2.0 255.255.255.0 192.168.1.2</w:t>
      </w:r>
      <w:r>
        <w:br/>
      </w:r>
      <w:r>
        <w:rPr>
          <w:rStyle w:val="VerbatimChar"/>
        </w:rPr>
        <w:t xml:space="preserve">(config)# ip route 192.168.1.0 255.255.255.0 192.168.2.1</w:t>
      </w:r>
    </w:p>
    <w:p>
      <w:pPr>
        <w:pStyle w:val="Compact"/>
        <w:numPr>
          <w:ilvl w:val="0"/>
          <w:numId w:val="1003"/>
        </w:numPr>
      </w:pPr>
      <w:r>
        <w:t xml:space="preserve">Опишите процесс обращения устройства из одного VLAN к устройству из другого VLAN.</w:t>
      </w:r>
    </w:p>
    <w:p>
      <w:pPr>
        <w:pStyle w:val="Compact"/>
        <w:numPr>
          <w:ilvl w:val="0"/>
          <w:numId w:val="1004"/>
        </w:numPr>
      </w:pPr>
      <w:r>
        <w:t xml:space="preserve">Определение VLAN:</w:t>
      </w:r>
    </w:p>
    <w:p>
      <w:pPr>
        <w:pStyle w:val="FirstParagraph"/>
      </w:pPr>
      <w:r>
        <w:t xml:space="preserve">Устройства в сети делятся на различные VLAN для управления трафиком и безопасности.</w:t>
      </w:r>
      <w:r>
        <w:t xml:space="preserve"> </w:t>
      </w:r>
      <w:r>
        <w:t xml:space="preserve">Каждый VLAN представляет собой логическую сегментацию сети, где устройства могут общаться только в пределах своего VLAN.</w:t>
      </w:r>
    </w:p>
    <w:p>
      <w:pPr>
        <w:pStyle w:val="Compact"/>
        <w:numPr>
          <w:ilvl w:val="0"/>
          <w:numId w:val="1005"/>
        </w:numPr>
      </w:pPr>
      <w:r>
        <w:t xml:space="preserve">Маршрутизация между VLAN:</w:t>
      </w:r>
    </w:p>
    <w:p>
      <w:pPr>
        <w:pStyle w:val="FirstParagraph"/>
      </w:pPr>
      <w:r>
        <w:t xml:space="preserve">Для обращения устройства из одного VLAN к устройству из другого VLAN требуется маршрутизация между VLAN.</w:t>
      </w:r>
      <w:r>
        <w:t xml:space="preserve"> </w:t>
      </w:r>
      <w:r>
        <w:t xml:space="preserve">Это может быть достигнуто с помощью маршрутизатора или многоуровневого коммутатора, способного работать на уровне маршрутизации.</w:t>
      </w:r>
    </w:p>
    <w:p>
      <w:pPr>
        <w:pStyle w:val="Compact"/>
        <w:numPr>
          <w:ilvl w:val="0"/>
          <w:numId w:val="1006"/>
        </w:numPr>
      </w:pPr>
      <w:r>
        <w:t xml:space="preserve">Пересылка трафика:</w:t>
      </w:r>
    </w:p>
    <w:p>
      <w:pPr>
        <w:pStyle w:val="FirstParagraph"/>
      </w:pPr>
      <w:r>
        <w:t xml:space="preserve">Когда устройство из одного VLAN отправляет пакет к устройству из другого VLAN, маршрутизатор или многоуровневый коммутатор принимает пакет, проверяет его адрес и пересылает его в соответствующий VLAN.</w:t>
      </w:r>
    </w:p>
    <w:p>
      <w:pPr>
        <w:pStyle w:val="Compact"/>
        <w:numPr>
          <w:ilvl w:val="0"/>
          <w:numId w:val="1007"/>
        </w:numPr>
      </w:pPr>
      <w:r>
        <w:t xml:space="preserve">Прием трафика:</w:t>
      </w:r>
    </w:p>
    <w:p>
      <w:pPr>
        <w:pStyle w:val="FirstParagraph"/>
      </w:pPr>
      <w:r>
        <w:t xml:space="preserve">Устройство в целевом VLAN принимает пакет и обрабатывает его в соответствии с его адресом и правилами безопасности VLAN.</w:t>
      </w:r>
    </w:p>
    <w:p>
      <w:pPr>
        <w:pStyle w:val="Compact"/>
        <w:numPr>
          <w:ilvl w:val="0"/>
          <w:numId w:val="1008"/>
        </w:numPr>
      </w:pPr>
      <w:r>
        <w:t xml:space="preserve">Как проверить работоспособность маршрута?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traceroute</w:t>
      </w:r>
    </w:p>
    <w:p>
      <w:pPr>
        <w:pStyle w:val="Compact"/>
        <w:numPr>
          <w:ilvl w:val="0"/>
          <w:numId w:val="1009"/>
        </w:numPr>
      </w:pPr>
      <w:r>
        <w:t xml:space="preserve">Как посмотреть таблицу маршрутизации?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show ip route</w:t>
      </w:r>
    </w:p>
    <w:bookmarkEnd w:id="74"/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Start w:id="76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Администрирование сетевых подсистем. Лабораторный практикум : учебное пособие. Москва: РУДН, 2021. 137 с.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Ищенко Ирина НПИбд-02-22</dc:creator>
  <dc:language>ru-RU</dc:language>
  <cp:keywords/>
  <dcterms:created xsi:type="dcterms:W3CDTF">2025-05-12T15:46:34Z</dcterms:created>
  <dcterms:modified xsi:type="dcterms:W3CDTF">2025-05-12T15:46:34Z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