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4.png" ContentType="image/png"/>
  <Override PartName="/word/media/rId5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Сетевые</w:t>
      </w:r>
      <w:r>
        <w:t xml:space="preserve"> </w:t>
      </w:r>
      <w:r>
        <w:t xml:space="preserve">технологии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Олеговна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методов кодирования и модуляции сигналов с помощью высокоуровнего языка программирования Octave. Определение спектра и параметров сигнала. Демонстрация принципов модуляции сигнала на примере аналоговой амплитудной модуляции. Исследование свойства самосинхронизации сигнала.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Построим график функции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s</m:t>
          </m:r>
          <m:r>
            <m:t>i</m:t>
          </m:r>
          <m:r>
            <m:t>n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3</m:t>
              </m:r>
            </m:den>
          </m:f>
          <m:r>
            <m:t>s</m:t>
          </m:r>
          <m:r>
            <m:t>i</m:t>
          </m:r>
          <m:r>
            <m:t>n</m:t>
          </m:r>
          <m:d>
            <m:dPr>
              <m:begChr m:val="("/>
              <m:endChr m:val=")"/>
              <m:sepChr m:val=""/>
              <m:grow/>
            </m:dPr>
            <m:e>
              <m:r>
                <m:t>3</m:t>
              </m:r>
              <m:r>
                <m:t>x</m:t>
              </m:r>
            </m:e>
          </m:d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5</m:t>
              </m:r>
            </m:den>
          </m:f>
          <m:r>
            <m:t>s</m:t>
          </m:r>
          <m:r>
            <m:t>i</m:t>
          </m:r>
          <m:r>
            <m:t>n</m:t>
          </m:r>
          <m:d>
            <m:dPr>
              <m:begChr m:val="("/>
              <m:endChr m:val=")"/>
              <m:sepChr m:val=""/>
              <m:grow/>
            </m:dPr>
            <m:e>
              <m:r>
                <m:t>5</m:t>
              </m:r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на интервале</w:t>
      </w:r>
      <w:r>
        <w:t xml:space="preserve"> </w:t>
      </w:r>
      <w:r>
        <w:t xml:space="preserve">[−10; 10], используя Octave и функцию</w:t>
      </w:r>
      <w:r>
        <w:t xml:space="preserve"> </w:t>
      </w:r>
      <w:r>
        <w:rPr>
          <w:rStyle w:val="VerbatimChar"/>
        </w:rPr>
        <w:t xml:space="preserve">plot</w:t>
      </w:r>
      <w:r>
        <w:t xml:space="preserve">. Создаем файл</w:t>
      </w:r>
      <w:r>
        <w:t xml:space="preserve"> </w:t>
      </w:r>
      <w:r>
        <w:rPr>
          <w:rStyle w:val="VerbatimChar"/>
        </w:rPr>
        <w:t xml:space="preserve">plot_sin.m</w:t>
      </w:r>
      <w:r>
        <w:t xml:space="preserve"> </w:t>
      </w:r>
      <w:r>
        <w:t xml:space="preserve">(рис. 1).</w:t>
      </w:r>
    </w:p>
    <w:p>
      <w:pPr>
        <w:pStyle w:val="CaptionedFigure"/>
      </w:pPr>
      <w:r>
        <w:drawing>
          <wp:inline>
            <wp:extent cx="3733800" cy="1963039"/>
            <wp:effectExtent b="0" l="0" r="0" t="0"/>
            <wp:docPr descr="Редактирование plot_sin.m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3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Редактирование plot_sin.m</w:t>
      </w:r>
    </w:p>
    <w:p>
      <w:pPr>
        <w:pStyle w:val="BodyText"/>
      </w:pPr>
      <w:r>
        <w:t xml:space="preserve">Запускаем файл и получаем график (рис. 2). В рабочем каталоге появляются файлы с графиками в форматах .eps, .png.</w:t>
      </w:r>
    </w:p>
    <w:p>
      <w:pPr>
        <w:pStyle w:val="CaptionedFigure"/>
      </w:pPr>
      <w:r>
        <w:drawing>
          <wp:inline>
            <wp:extent cx="3606444" cy="3389034"/>
            <wp:effectExtent b="0" l="0" r="0" t="0"/>
            <wp:docPr descr="График функции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444" cy="3389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График функции</w:t>
      </w:r>
    </w:p>
    <w:p>
      <w:pPr>
        <w:pStyle w:val="BodyText"/>
      </w:pPr>
      <w:r>
        <w:t xml:space="preserve">Сохраняем файл под другим именем, добавляем на график линию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t>2</m:t>
          </m:r>
          <m:r>
            <m:rPr>
              <m:sty m:val="p"/>
            </m:rPr>
            <m:t>=</m:t>
          </m:r>
          <m:r>
            <m:t>c</m:t>
          </m:r>
          <m:r>
            <m:t>o</m:t>
          </m:r>
          <m:r>
            <m:t>s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3</m:t>
              </m:r>
            </m:den>
          </m:f>
          <m:r>
            <m:t>c</m:t>
          </m:r>
          <m:r>
            <m:t>o</m:t>
          </m:r>
          <m:r>
            <m:t>s</m:t>
          </m:r>
          <m:d>
            <m:dPr>
              <m:begChr m:val="("/>
              <m:endChr m:val=")"/>
              <m:sepChr m:val=""/>
              <m:grow/>
            </m:dPr>
            <m:e>
              <m:r>
                <m:t>3</m:t>
              </m:r>
              <m:r>
                <m:t>x</m:t>
              </m:r>
            </m:e>
          </m:d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5</m:t>
              </m:r>
            </m:den>
          </m:f>
          <m:r>
            <m:t>c</m:t>
          </m:r>
          <m:r>
            <m:t>o</m:t>
          </m:r>
          <m:r>
            <m:t>s</m:t>
          </m:r>
          <m:d>
            <m:dPr>
              <m:begChr m:val="("/>
              <m:endChr m:val=")"/>
              <m:sepChr m:val=""/>
              <m:grow/>
            </m:dPr>
            <m:e>
              <m:r>
                <m:t>5</m:t>
              </m:r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и запускаем (рис. 3)</w:t>
      </w:r>
    </w:p>
    <w:p>
      <w:pPr>
        <w:pStyle w:val="CaptionedFigure"/>
      </w:pPr>
      <w:r>
        <w:drawing>
          <wp:inline>
            <wp:extent cx="3733800" cy="1531748"/>
            <wp:effectExtent b="0" l="0" r="0" t="0"/>
            <wp:docPr descr="Добавление линии на график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1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линии на график</w:t>
      </w:r>
    </w:p>
    <w:p>
      <w:pPr>
        <w:pStyle w:val="BodyText"/>
      </w:pPr>
      <w:r>
        <w:t xml:space="preserve">Создаем сценарий</w:t>
      </w:r>
      <w:r>
        <w:t xml:space="preserve"> </w:t>
      </w:r>
      <w:r>
        <w:rPr>
          <w:rStyle w:val="VerbatimChar"/>
        </w:rPr>
        <w:t xml:space="preserve">meandr.m</w:t>
      </w:r>
      <w:r>
        <w:t xml:space="preserve"> </w:t>
      </w:r>
      <w:r>
        <w:t xml:space="preserve">для демонстрации графиков меандра, реализованных с разным количеством гармоник (рис. 4)</w:t>
      </w:r>
    </w:p>
    <w:p>
      <w:pPr>
        <w:pStyle w:val="CaptionedFigure"/>
      </w:pPr>
      <w:r>
        <w:drawing>
          <wp:inline>
            <wp:extent cx="3733800" cy="1532018"/>
            <wp:effectExtent b="0" l="0" r="0" t="0"/>
            <wp:docPr descr="Графики меандра с разным количеством гармоник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2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Графики меандра с разным количеством гармоник</w:t>
      </w:r>
    </w:p>
    <w:p>
      <w:pPr>
        <w:pStyle w:val="BodyText"/>
      </w:pPr>
      <w:r>
        <w:t xml:space="preserve">Добавляю в листинг строки для экспорта графика в .png. Корректирую код для реализации меандра через синусы (рис. 5)</w:t>
      </w:r>
    </w:p>
    <w:p>
      <w:pPr>
        <w:pStyle w:val="CaptionedFigure"/>
      </w:pPr>
      <w:r>
        <w:drawing>
          <wp:inline>
            <wp:extent cx="3733800" cy="1488760"/>
            <wp:effectExtent b="0" l="0" r="0" t="0"/>
            <wp:docPr descr="Графики меандра с разным количеством гармоник через синусы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8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Графики меандра с разным количеством гармоник через синусы</w:t>
      </w:r>
    </w:p>
    <w:p>
      <w:pPr>
        <w:pStyle w:val="BodyText"/>
      </w:pPr>
      <w:r>
        <w:t xml:space="preserve">Определяем спектр двух отдельных сигналов и их суммы. В рабочем каталоге создаем каталог</w:t>
      </w:r>
      <w:r>
        <w:t xml:space="preserve"> </w:t>
      </w:r>
      <w:r>
        <w:rPr>
          <w:rStyle w:val="VerbatimChar"/>
        </w:rPr>
        <w:t xml:space="preserve">spectre1</w:t>
      </w:r>
      <w:r>
        <w:t xml:space="preserve"> </w:t>
      </w:r>
      <w:r>
        <w:t xml:space="preserve">и в нём новый сценарий с именем</w:t>
      </w:r>
      <w:r>
        <w:t xml:space="preserve"> </w:t>
      </w:r>
      <w:r>
        <w:rPr>
          <w:rStyle w:val="VerbatimChar"/>
        </w:rPr>
        <w:t xml:space="preserve">spectre.m</w:t>
      </w:r>
      <w:r>
        <w:t xml:space="preserve">. Запускаем сценарий (рис. 6)</w:t>
      </w:r>
    </w:p>
    <w:p>
      <w:pPr>
        <w:pStyle w:val="CaptionedFigure"/>
      </w:pPr>
      <w:r>
        <w:drawing>
          <wp:inline>
            <wp:extent cx="3733800" cy="1556422"/>
            <wp:effectExtent b="0" l="0" r="0" t="0"/>
            <wp:docPr descr="Два синусоидальных сигнала разной частоты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6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Два синусоидальных сигнала разной частоты</w:t>
      </w:r>
    </w:p>
    <w:p>
      <w:pPr>
        <w:pStyle w:val="BodyText"/>
      </w:pPr>
      <w:r>
        <w:t xml:space="preserve">Находим спектр суммы рассмотренных сигналов, создав каталог</w:t>
      </w:r>
      <w:r>
        <w:t xml:space="preserve"> </w:t>
      </w:r>
      <w:r>
        <w:rPr>
          <w:rStyle w:val="VerbatimChar"/>
        </w:rPr>
        <w:t xml:space="preserve">spectre_sum</w:t>
      </w:r>
      <w:r>
        <w:t xml:space="preserve"> </w:t>
      </w:r>
      <w:r>
        <w:t xml:space="preserve">и файл в нём</w:t>
      </w:r>
      <w:r>
        <w:t xml:space="preserve"> </w:t>
      </w:r>
      <w:r>
        <w:rPr>
          <w:rStyle w:val="VerbatimChar"/>
        </w:rPr>
        <w:t xml:space="preserve">spectre_sum.m</w:t>
      </w:r>
      <w:r>
        <w:t xml:space="preserve">. В результате получается аналогичный предыдущему результат, т.е. спектр суммы сигналов должен быть равен сумме спектров сигналов, что вытекает из свойств преобразования Фурье (рис. 7)</w:t>
      </w:r>
    </w:p>
    <w:p>
      <w:pPr>
        <w:pStyle w:val="CaptionedFigure"/>
      </w:pPr>
      <w:r>
        <w:drawing>
          <wp:inline>
            <wp:extent cx="3733800" cy="1534000"/>
            <wp:effectExtent b="0" l="0" r="0" t="0"/>
            <wp:docPr descr="Спектр суммарного сигнала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Спектр суммарного сигнала</w:t>
      </w:r>
    </w:p>
    <w:p>
      <w:pPr>
        <w:pStyle w:val="BodyText"/>
      </w:pPr>
      <w:r>
        <w:t xml:space="preserve">Cоздаем каталог</w:t>
      </w:r>
      <w:r>
        <w:t xml:space="preserve"> </w:t>
      </w:r>
      <w:r>
        <w:rPr>
          <w:rStyle w:val="VerbatimChar"/>
        </w:rPr>
        <w:t xml:space="preserve">modulation</w:t>
      </w:r>
      <w:r>
        <w:t xml:space="preserve"> </w:t>
      </w:r>
      <w:r>
        <w:t xml:space="preserve">и в нём новый сценарий с именем</w:t>
      </w:r>
      <w:r>
        <w:t xml:space="preserve"> </w:t>
      </w:r>
      <w:r>
        <w:rPr>
          <w:rStyle w:val="VerbatimChar"/>
        </w:rPr>
        <w:t xml:space="preserve">am.m</w:t>
      </w:r>
      <w:r>
        <w:t xml:space="preserve"> </w:t>
      </w:r>
      <w:r>
        <w:t xml:space="preserve">для демонстрации принципов модуляции сигнала на примере аналоговой амплитудной модуляции. В результате получаем, что спектр произведения представляет собой свёртку спектров (рис. 8).</w:t>
      </w:r>
    </w:p>
    <w:p>
      <w:pPr>
        <w:pStyle w:val="CaptionedFigure"/>
      </w:pPr>
      <w:r>
        <w:drawing>
          <wp:inline>
            <wp:extent cx="3733800" cy="1486167"/>
            <wp:effectExtent b="0" l="0" r="0" t="0"/>
            <wp:docPr descr="Спектр сигнала при амплитудной модуляции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6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Спектр сигнала при амплитудной модуляции</w:t>
      </w:r>
    </w:p>
    <w:p>
      <w:pPr>
        <w:pStyle w:val="BodyText"/>
      </w:pPr>
      <w:r>
        <w:t xml:space="preserve">В рабочем каталоге создаем каталог</w:t>
      </w:r>
      <w:r>
        <w:t xml:space="preserve"> </w:t>
      </w:r>
      <w:r>
        <w:rPr>
          <w:rStyle w:val="VerbatimChar"/>
        </w:rPr>
        <w:t xml:space="preserve">coding</w:t>
      </w:r>
      <w:r>
        <w:t xml:space="preserve"> </w:t>
      </w:r>
      <w:r>
        <w:t xml:space="preserve">и в нём файлы</w:t>
      </w:r>
      <w:r>
        <w:t xml:space="preserve"> </w:t>
      </w:r>
      <w:r>
        <w:rPr>
          <w:rStyle w:val="VerbatimChar"/>
        </w:rPr>
        <w:t xml:space="preserve">main.m, maptowave.m, unipolar.m ,ami.m, bipolarnrz.m, bipolarrz.m, manchester.m, diffmanc.m, calcspectre.m.</w:t>
      </w:r>
      <w:r>
        <w:t xml:space="preserve"> </w:t>
      </w:r>
      <w:r>
        <w:t xml:space="preserve">и ввожу код (рис. 9).</w:t>
      </w:r>
    </w:p>
    <w:p>
      <w:pPr>
        <w:pStyle w:val="CaptionedFigure"/>
      </w:pPr>
      <w:r>
        <w:drawing>
          <wp:inline>
            <wp:extent cx="3733800" cy="2146824"/>
            <wp:effectExtent b="0" l="0" r="0" t="0"/>
            <wp:docPr descr="Создание и заполнение файлов в каталоге coding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6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и заполнение файлов в каталоге coding</w:t>
      </w:r>
    </w:p>
    <w:p>
      <w:pPr>
        <w:pStyle w:val="BodyText"/>
      </w:pPr>
      <w:r>
        <w:t xml:space="preserve">Запустив файл</w:t>
      </w:r>
      <w:r>
        <w:t xml:space="preserve"> </w:t>
      </w:r>
      <w:r>
        <w:rPr>
          <w:rStyle w:val="VerbatimChar"/>
        </w:rPr>
        <w:t xml:space="preserve">main.m</w:t>
      </w:r>
      <w:r>
        <w:t xml:space="preserve">, получаем графики. В каталоге</w:t>
      </w:r>
      <w:r>
        <w:t xml:space="preserve"> </w:t>
      </w:r>
      <w:r>
        <w:rPr>
          <w:rStyle w:val="VerbatimChar"/>
        </w:rPr>
        <w:t xml:space="preserve">signal</w:t>
      </w:r>
      <w:r>
        <w:t xml:space="preserve"> </w:t>
      </w:r>
      <w:r>
        <w:t xml:space="preserve">получены файлы с графиками кодированного сигнала (рис. 10), в каталоге sync — файлы с графиками, иллюстрирующими свойства самосинхронизации (рис. 11), в каталоге spectre — файлы с графиками спектров сигналов (рис. 12).</w:t>
      </w:r>
    </w:p>
    <w:p>
      <w:pPr>
        <w:pStyle w:val="CaptionedFigure"/>
      </w:pPr>
      <w:r>
        <w:drawing>
          <wp:inline>
            <wp:extent cx="3733800" cy="1484262"/>
            <wp:effectExtent b="0" l="0" r="0" t="0"/>
            <wp:docPr descr="Файлы с графиками кодированного сигна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4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Файлы с графиками кодированного сигнала</w:t>
      </w:r>
    </w:p>
    <w:p>
      <w:pPr>
        <w:pStyle w:val="CaptionedFigure"/>
      </w:pPr>
      <w:r>
        <w:drawing>
          <wp:inline>
            <wp:extent cx="3733800" cy="1019709"/>
            <wp:effectExtent b="0" l="0" r="0" t="0"/>
            <wp:docPr descr="Файлы с графиками, иллюстрирующими свойства самосинхронизации" title="" id="52" name="Picture"/>
            <a:graphic>
              <a:graphicData uri="http://schemas.openxmlformats.org/drawingml/2006/picture">
                <pic:pic>
                  <pic:nvPicPr>
                    <pic:cNvPr descr="image/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9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Файлы с графиками, иллюстрирующими свойства самосинхронизации</w:t>
      </w:r>
    </w:p>
    <w:p>
      <w:pPr>
        <w:pStyle w:val="CaptionedFigure"/>
      </w:pPr>
      <w:r>
        <w:drawing>
          <wp:inline>
            <wp:extent cx="3733800" cy="1373669"/>
            <wp:effectExtent b="0" l="0" r="0" t="0"/>
            <wp:docPr descr="Файлы с графиками спектров сигналов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3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Файлы с графиками спектров сигналов</w:t>
      </w:r>
    </w:p>
    <w:bookmarkEnd w:id="57"/>
    <w:bookmarkStart w:id="5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изучила методы кодирования и модуляции сигналов с помощью высокоуровнего языка программирования Octave, определение спектра и параметров сигнала. Произвела демонстрацию принципов модуляции сигнала на примере аналоговой амплитудной модуляции. Исследовала свойства самосинхронизации сигнала.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1" Target="media/rId5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Ищенко Ирина Олеговна НПИбд-02-22</dc:creator>
  <dc:language>ru-RU</dc:language>
  <cp:keywords/>
  <dcterms:created xsi:type="dcterms:W3CDTF">2024-09-14T12:39:10Z</dcterms:created>
  <dcterms:modified xsi:type="dcterms:W3CDTF">2024-09-14T12:39:10Z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Сетевые технологии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