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RESOLUCION DE RENOVACION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Resolucion N.o {{resol_nro}}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Resolucion: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{{resol_nro}}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VISTOS: La solicitud de renovacion N.o {{nro_solicitud}}, el informe de visita tecnica N.o {{tecnico_info_nro}} y el informe legal N.o {{legal_info_nro}}, correspondientes a la parcela con numero de cato {{id_cato}}.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IDENTIFICACION DEL TRAMITE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Renovacion (id_renov)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{{id_renov}}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Afiliado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 ({{id_afi}})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{{estado}}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PARCELA AUTORIZADA (NUEVA)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Superficie Autorizada (ha)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{{renov_sup}}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Coordenadas Autorizadas (UTM)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{{renov_utm_xy}}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Frecuencia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{{renov_frec}}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Edad (meses)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{{renov_edad_mes}}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VIGENCIA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Inicio de Vigencia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{{vigencia_inicio}}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Vencimiento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{{fecha_vencimiento}}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PARTE RESOLUTIVA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{{resol_obs}}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{{resultado}}   (APROBADA / RECHAZADA)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Resolucion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{{resol_fecha}}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{{responsable_nombre}}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Legal / {{responsable_cargo}}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 UDESTRO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2026-07-03T15:16:07.729Z</dcterms:created>
  <dcterms:modified xsi:type="dcterms:W3CDTF">2026-07-03T15:16:07.729Z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