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AIRK Explorer Plan v1.4 — Review and Recommendations</w:t>
      </w:r>
    </w:p>
    <w:p>
      <w:pPr/>
      <w:r>
        <w:t xml:space="preserve">Oct 24, 2026</w:t>
      </w:r>
      <w:r>
        <w:t xml:space="preserve"> · </w:t>
      </w:r>
      <w:r>
        <w:t xml:space="preserve">@Tyler Jensen</w:t>
      </w:r>
    </w:p>
    <w:p>
      <w:pPr/>
      <w:r>
        <w:t xml:space="preserve">Review of </w:t>
      </w:r>
      <w:r>
        <w:rPr>
          <w:i/>
        </w:rPr>
        <w:t xml:space="preserve">AIRK_Explorer_Codex_Plan_v1_4.md</w:t>
      </w:r>
      <w:r>
        <w:t xml:space="preserve"> (unified implementation plan for AIRK Explorer on the AIRK 1.4 local-service architecture).</w:t>
      </w:r>
    </w:p>
    <w:p>
      <w:pPr>
        <w:pStyle w:val="Heading2"/>
      </w:pPr>
      <w:r>
        <w:t xml:space="preserve">Executive summary</w:t>
      </w:r>
    </w:p>
    <w:p>
      <w:pPr/>
      <w:r>
        <w:rPr>
          <w:b/>
        </w:rPr>
        <w:t xml:space="preserve">Verdict: strong on safety and evidence truthfulness, but not yet executable as a Codex brief.</w:t>
      </w:r>
      <w:r>
        <w:t xml:space="preserve"> The plan's trust boundaries, evidence classes and human-gate model are sound and should be kept. Its weaknesses are a missing AIRK 1.4 service contract, heavy repetition from the 1.4 retrofit, an overloaded R4 milestone, and a few internal contradictions that will make Codex stall or guess.</w:t>
      </w:r>
    </w:p>
    <w:p>
      <w:pPr/>
      <w:r>
        <w:t xml:space="preserve">The five changes that matter most:</w:t>
      </w:r>
    </w:p>
    <w:p>
      <w:pPr>
        <w:pStyle w:val="ListParagraph"/>
        <w:numPr>
          <w:ilvl w:val="0"/>
          <w:numId w:val="2"/>
        </w:numPr>
      </w:pPr>
      <w:r>
        <w:rPr>
          <w:b/>
        </w:rPr>
        <w:t xml:space="preserve">Write the AIRK 1.4 service contract as an appendix before Codex starts.</w:t>
      </w:r>
      <w:r>
        <w:t xml:space="preserve"> Today the foundation layer is "discover it in the checkout." The owner knows the endpoint, auth, supervisor and </w:t>
      </w:r>
      <w:r>
        <w:rPr>
          <w:rStyle w:val="CodeChar"/>
        </w:rPr>
        <w:t xml:space="preserve">airk-embed</w:t>
      </w:r>
      <w:r>
        <w:t xml:space="preserve"> role; Codex does not. A one-page contract removes the largest R0 risk.</w:t>
      </w:r>
    </w:p>
    <w:p>
      <w:pPr>
        <w:pStyle w:val="ListParagraph"/>
        <w:numPr>
          <w:ilvl w:val="0"/>
          <w:numId w:val="2"/>
        </w:numPr>
      </w:pPr>
      <w:r>
        <w:rPr>
          <w:b/>
        </w:rPr>
        <w:t xml:space="preserve">Collapse the repeated invariants into one numbered list (INV-1 to INV-10) and reference them.</w:t>
      </w:r>
      <w:r>
        <w:t xml:space="preserve"> The one-VSIX, unchanged-15-tools and no-backend-calls rules appear 30+ times. Cutting the repeats shrinks the plan by roughly a quarter and frees agent context for the actual contracts.</w:t>
      </w:r>
    </w:p>
    <w:p>
      <w:pPr>
        <w:pStyle w:val="ListParagraph"/>
        <w:numPr>
          <w:ilvl w:val="0"/>
          <w:numId w:val="2"/>
        </w:numPr>
      </w:pPr>
      <w:r>
        <w:rPr>
          <w:b/>
        </w:rPr>
        <w:t xml:space="preserve">Fix the stale Assistance MCP launch model.</w:t>
      </w:r>
      <w:r>
        <w:t xml:space="preserve"> External agents launch the stdio entrypoint, not VS Code, and the extension install path changes on every update. The plan needs a stable launcher path and a Node runtime story.</w:t>
      </w:r>
    </w:p>
    <w:p>
      <w:pPr>
        <w:pStyle w:val="ListParagraph"/>
        <w:numPr>
          <w:ilvl w:val="0"/>
          <w:numId w:val="2"/>
        </w:numPr>
      </w:pPr>
      <w:r>
        <w:rPr>
          <w:b/>
        </w:rPr>
        <w:t xml:space="preserve">Split R4 and move Strategies earlier.</w:t>
      </w:r>
      <w:r>
        <w:t xml:space="preserve"> R4 bundles Library, Studio, Queue, Planner, help catalog, Assistance MCP, Inbox and mobile preview. Ship R4a (Library, Studio, Planner Save) right after R2, and R4b (Assistance MCP, Inbox) after it. Merge the standalone Queue into Planner until dispatch adapters exist.</w:t>
      </w:r>
    </w:p>
    <w:p>
      <w:pPr>
        <w:pStyle w:val="ListParagraph"/>
        <w:numPr>
          <w:ilvl w:val="0"/>
          <w:numId w:val="2"/>
        </w:numPr>
      </w:pPr>
      <w:r>
        <w:rPr>
          <w:b/>
        </w:rPr>
        <w:t xml:space="preserve">Remove the 1.3.1 residue and unify registries.</w:t>
      </w:r>
      <w:r>
        <w:t xml:space="preserve"> Examples: </w:t>
      </w:r>
      <w:r>
        <w:rPr>
          <w:rStyle w:val="CodeChar"/>
        </w:rPr>
        <w:t xml:space="preserve">retrievalHelperVersion</w:t>
      </w:r>
      <w:r>
        <w:t xml:space="preserve"> in the run manifest, two non-matching error-code lists, and a Planner </w:t>
      </w:r>
      <w:r>
        <w:rPr>
          <w:rStyle w:val="CodeChar"/>
        </w:rPr>
        <w:t xml:space="preserve">save</w:t>
      </w:r>
      <w:r>
        <w:t xml:space="preserve"> field kept "for compatibility" on a tool that has no prior version.</w:t>
      </w:r>
    </w:p>
    <w:p>
      <w:pPr>
        <w:pStyle w:val="Heading2"/>
      </w:pPr>
      <w:r>
        <w:t xml:space="preserve">What the plan gets right and should keep</w:t>
      </w:r>
    </w:p>
    <w:p>
      <w:pPr/>
      <w:r>
        <w:t xml:space="preserve">These elements are the plan's real value; protect them through any rewrite.</w:t>
      </w:r>
    </w:p>
    <w:p>
      <w:pPr>
        <w:pStyle w:val="ListParagraph"/>
        <w:numPr>
          <w:ilvl w:val="0"/>
          <w:numId w:val="3"/>
        </w:numPr>
      </w:pPr>
      <w:r>
        <w:rPr>
          <w:b/>
        </w:rPr>
        <w:t xml:space="preserve">Three-plane trust split.</w:t>
      </w:r>
      <w:r>
        <w:t xml:space="preserve"> Read-only Retrieval MCP, inert Assistance MCP and a host that alone holds authority is the right shape. The "applied is not executed, exported is not completed" vocabulary is unusually disciplined.</w:t>
      </w:r>
    </w:p>
    <w:p>
      <w:pPr>
        <w:pStyle w:val="ListParagraph"/>
        <w:numPr>
          <w:ilvl w:val="0"/>
          <w:numId w:val="3"/>
        </w:numPr>
      </w:pPr>
      <w:r>
        <w:rPr>
          <w:b/>
        </w:rPr>
        <w:t xml:space="preserve">Evidence classes E1–E4.</w:t>
      </w:r>
      <w:r>
        <w:t xml:space="preserve"> Separating indexed text, syntax facts, rule observations and IDE assertions prevents the most common agent-tooling lie: presenting a name match as a resolved call.</w:t>
      </w:r>
    </w:p>
    <w:p>
      <w:pPr>
        <w:pStyle w:val="ListParagraph"/>
        <w:numPr>
          <w:ilvl w:val="0"/>
          <w:numId w:val="3"/>
        </w:numPr>
      </w:pPr>
      <w:r>
        <w:rPr>
          <w:b/>
        </w:rPr>
        <w:t xml:space="preserve">Truthful pagination and counts.</w:t>
      </w:r>
      <w:r>
        <w:t xml:space="preserve"> "4 returned, limit 10, more may exist" and the ban on top-N pseudo-facets should become a lint rule on every list component.</w:t>
      </w:r>
    </w:p>
    <w:p>
      <w:pPr>
        <w:pStyle w:val="ListParagraph"/>
        <w:numPr>
          <w:ilvl w:val="0"/>
          <w:numId w:val="3"/>
        </w:numPr>
      </w:pPr>
      <w:r>
        <w:rPr>
          <w:b/>
        </w:rPr>
        <w:t xml:space="preserve">Publication pinning in every run.</w:t>
      </w:r>
      <w:r>
        <w:t xml:space="preserve"> Binding service instance, collection and publication token into the manifest is what makes determinism and staleness detection possible.</w:t>
      </w:r>
    </w:p>
    <w:p>
      <w:pPr>
        <w:pStyle w:val="ListParagraph"/>
        <w:numPr>
          <w:ilvl w:val="0"/>
          <w:numId w:val="3"/>
        </w:numPr>
      </w:pPr>
      <w:r>
        <w:rPr>
          <w:b/>
        </w:rPr>
        <w:t xml:space="preserve">Query-driven review.</w:t>
      </w:r>
      <w:r>
        <w:t xml:space="preserve"> Grouping rules by fact query, then hash-checking only matched files, avoids the N×M probe pattern that would have made review unusable on large repos.</w:t>
      </w:r>
    </w:p>
    <w:p>
      <w:pPr>
        <w:pStyle w:val="ListParagraph"/>
        <w:numPr>
          <w:ilvl w:val="0"/>
          <w:numId w:val="3"/>
        </w:numPr>
      </w:pPr>
      <w:r>
        <w:rPr>
          <w:b/>
        </w:rPr>
        <w:t xml:space="preserve">Line-move-resilient fingerprints</w:t>
      </w:r>
      <w:r>
        <w:t xml:space="preserve"> with explicit collision handling instead of silent merges.</w:t>
      </w:r>
    </w:p>
    <w:p>
      <w:pPr>
        <w:pStyle w:val="ListParagraph"/>
        <w:numPr>
          <w:ilvl w:val="0"/>
          <w:numId w:val="3"/>
        </w:numPr>
      </w:pPr>
      <w:r>
        <w:rPr>
          <w:b/>
        </w:rPr>
        <w:t xml:space="preserve">Planner Save via the real VS Code host,</w:t>
      </w:r>
      <w:r>
        <w:t xml:space="preserve"> with readback and editor-open before claiming "saved." The explicit rejection of browser downloads as a save is correct.</w:t>
      </w:r>
    </w:p>
    <w:p>
      <w:pPr>
        <w:pStyle w:val="ListParagraph"/>
        <w:numPr>
          <w:ilvl w:val="0"/>
          <w:numId w:val="3"/>
        </w:numPr>
      </w:pPr>
      <w:r>
        <w:rPr>
          <w:b/>
        </w:rPr>
        <w:t xml:space="preserve">Portable prompts by default.</w:t>
      </w:r>
      <w:r>
        <w:t xml:space="preserve"> A packet that works without AIRK in the destination agent widens the addressable market.</w:t>
      </w:r>
    </w:p>
    <w:p>
      <w:pPr>
        <w:pStyle w:val="ListParagraph"/>
        <w:numPr>
          <w:ilvl w:val="0"/>
          <w:numId w:val="3"/>
        </w:numPr>
      </w:pPr>
      <w:r>
        <w:rPr>
          <w:b/>
        </w:rPr>
        <w:t xml:space="preserve">K1–K6 kept out of the 1.4 baseline.</w:t>
      </w:r>
      <w:r>
        <w:t xml:space="preserve"> Keeping backend enhancements on a separate approval track protects the stable tool contract.</w:t>
      </w:r>
    </w:p>
    <w:p>
      <w:pPr>
        <w:pStyle w:val="Heading2"/>
      </w:pPr>
      <w:r>
        <w:t xml:space="preserve">Critical issues to resolve before Codex starts</w:t>
      </w:r>
    </w:p>
    <w:p>
      <w:pPr/>
      <w:r>
        <w:t xml:space="preserve">Each item below would cause Codex to block, guess, or build the wrong thing. Fix them in the plan, not during implementation.</w:t>
      </w:r>
    </w:p>
    <w:tbl>
      <w:tblPr>
        <w:tblStyle w:val="TableGrid"/>
        <w:tblW w:w="0" w:type="auto"/>
        <w:tblLayout w:type="fixed"/>
        <w:tblLook w:val="04A0" w:firstRow="1" w:lastRow="0" w:firstColumn="0" w:lastColumn="0" w:noHBand="0" w:noVBand="1"/>
      </w:tblPr>
      <w:tblGrid>
        <w:gridCol w:w="720"/>
        <w:gridCol w:w="1748"/>
        <w:gridCol w:w="1872"/>
        <w:gridCol w:w="2402"/>
        <w:gridCol w:w="2618"/>
      </w:tblGrid>
      <w:tr>
        <w:trPr>
          <w:tblHeader/>
        </w:trPr>
        <w:tc>
          <w:tcPr>
            <w:tcW w:w="720" w:type="dxa"/>
            <w:shd w:val="clear" w:color="auto" w:fill="F2F2F2"/>
          </w:tcPr>
          <w:p>
            <w:pPr/>
            <w:r>
              <w:t xml:space="preserve">#</w:t>
            </w:r>
          </w:p>
        </w:tc>
        <w:tc>
          <w:tcPr>
            <w:tcW w:w="1748" w:type="dxa"/>
            <w:shd w:val="clear" w:color="auto" w:fill="F2F2F2"/>
          </w:tcPr>
          <w:p>
            <w:pPr/>
            <w:r>
              <w:t xml:space="preserve">Issue</w:t>
            </w:r>
          </w:p>
        </w:tc>
        <w:tc>
          <w:tcPr>
            <w:tcW w:w="1872" w:type="dxa"/>
            <w:shd w:val="clear" w:color="auto" w:fill="F2F2F2"/>
          </w:tcPr>
          <w:p>
            <w:pPr/>
            <w:r>
              <w:t xml:space="preserve">Where</w:t>
            </w:r>
          </w:p>
        </w:tc>
        <w:tc>
          <w:tcPr>
            <w:tcW w:w="2402" w:type="dxa"/>
            <w:shd w:val="clear" w:color="auto" w:fill="F2F2F2"/>
          </w:tcPr>
          <w:p>
            <w:pPr/>
            <w:r>
              <w:t xml:space="preserve">Why it matters</w:t>
            </w:r>
          </w:p>
        </w:tc>
        <w:tc>
          <w:tcPr>
            <w:tcW w:w="2618" w:type="dxa"/>
            <w:shd w:val="clear" w:color="auto" w:fill="F2F2F2"/>
          </w:tcPr>
          <w:p>
            <w:pPr/>
            <w:r>
              <w:t xml:space="preserve">Recommendation</w:t>
            </w:r>
          </w:p>
        </w:tc>
      </w:tr>
      <w:tr>
        <w:tc>
          <w:tcPr>
            <w:tcW w:w="720" w:type="dxa"/>
          </w:tcPr>
          <w:p>
            <w:pPr/>
            <w:r>
              <w:t xml:space="preserve">C1</w:t>
            </w:r>
          </w:p>
        </w:tc>
        <w:tc>
          <w:tcPr>
            <w:tcW w:w="1748" w:type="dxa"/>
          </w:tcPr>
          <w:p>
            <w:pPr/>
            <w:r>
              <w:t xml:space="preserve">No concrete AIRK 1.4 service contract</w:t>
            </w:r>
          </w:p>
        </w:tc>
        <w:tc>
          <w:tcPr>
            <w:tcW w:w="1872" w:type="dxa"/>
          </w:tcPr>
          <w:p>
            <w:pPr/>
            <w:r>
              <w:t xml:space="preserve">§3.4, §3.6, §0.1 item 2</w:t>
            </w:r>
          </w:p>
        </w:tc>
        <w:tc>
          <w:tcPr>
            <w:tcW w:w="2402" w:type="dxa"/>
          </w:tcPr>
          <w:p>
            <w:pPr/>
            <w:r>
              <w:t xml:space="preserve">Every service-dependent phase depends on facts the plan says to "discover." If the checkout is mid-migration, Codex has no target to verify against.</w:t>
            </w:r>
          </w:p>
        </w:tc>
        <w:tc>
          <w:tcPr>
            <w:tcW w:w="2618" w:type="dxa"/>
          </w:tcPr>
          <w:p>
            <w:pPr/>
            <w:r>
              <w:t xml:space="preserve">Add Appendix D: transport, discovery file or socket path, auth model, process supervisor, </w:t>
            </w:r>
            <w:r>
              <w:rPr>
                <w:rStyle w:val="CodeChar"/>
              </w:rPr>
              <w:t xml:space="preserve">airk-embed</w:t>
            </w:r>
            <w:r>
              <w:t xml:space="preserve"> role (process, library or service), lexical-without-embed guarantee, management API list, multi-client support. Owner-written, one page.</w:t>
            </w:r>
          </w:p>
        </w:tc>
      </w:tr>
      <w:tr>
        <w:tc>
          <w:tcPr>
            <w:tcW w:w="720" w:type="dxa"/>
          </w:tcPr>
          <w:p>
            <w:pPr/>
            <w:r>
              <w:t xml:space="preserve">C2</w:t>
            </w:r>
          </w:p>
        </w:tc>
        <w:tc>
          <w:tcPr>
            <w:tcW w:w="1748" w:type="dxa"/>
          </w:tcPr>
          <w:p>
            <w:pPr/>
            <w:r>
              <w:t xml:space="preserve">Precedence rules conflict when the checkout contradicts the user target</w:t>
            </w:r>
          </w:p>
        </w:tc>
        <w:tc>
          <w:tcPr>
            <w:tcW w:w="1872" w:type="dxa"/>
          </w:tcPr>
          <w:p>
            <w:pPr/>
            <w:r>
              <w:t xml:space="preserve">§0.1 items 1 and 2</w:t>
            </w:r>
          </w:p>
        </w:tc>
        <w:tc>
          <w:tcPr>
            <w:tcW w:w="2402" w:type="dxa"/>
          </w:tcPr>
          <w:p>
            <w:pPr/>
            <w:r>
              <w:t xml:space="preserve">Item 1 says the user target overrides; item 2 says the checkout determines reality. If 1.4 actually changed a tool schema, Codex must either break the contract or the target.</w:t>
            </w:r>
          </w:p>
        </w:tc>
        <w:tc>
          <w:tcPr>
            <w:tcW w:w="2618" w:type="dxa"/>
          </w:tcPr>
          <w:p>
            <w:pPr/>
            <w:r>
              <w:t xml:space="preserve">State the tie-break: Codex stops, writes a discrepancy report, and does not implement service-dependent work until the owner decides.</w:t>
            </w:r>
          </w:p>
        </w:tc>
      </w:tr>
      <w:tr>
        <w:tc>
          <w:tcPr>
            <w:tcW w:w="720" w:type="dxa"/>
          </w:tcPr>
          <w:p>
            <w:pPr/>
            <w:r>
              <w:t xml:space="preserve">C3</w:t>
            </w:r>
          </w:p>
        </w:tc>
        <w:tc>
          <w:tcPr>
            <w:tcW w:w="1748" w:type="dxa"/>
          </w:tcPr>
          <w:p>
            <w:pPr/>
            <w:r>
              <w:t xml:space="preserve">Assistance MCP launch path is unstable</w:t>
            </w:r>
          </w:p>
        </w:tc>
        <w:tc>
          <w:tcPr>
            <w:tcW w:w="1872" w:type="dxa"/>
          </w:tcPr>
          <w:p>
            <w:pPr/>
            <w:r>
              <w:t xml:space="preserve">§9.9, §12.2</w:t>
            </w:r>
          </w:p>
        </w:tc>
        <w:tc>
          <w:tcPr>
            <w:tcW w:w="2402" w:type="dxa"/>
          </w:tcPr>
          <w:p>
            <w:pPr/>
            <w:r>
              <w:t xml:space="preserve">External agents (Codex CLI, Claude Code) spawn stdio servers from their own config. A path into </w:t>
            </w:r>
            <w:r>
              <w:rPr>
                <w:rStyle w:val="CodeChar"/>
              </w:rPr>
              <w:t xml:space="preserve">~/.vscode/extensions/iokaio.airk-&lt;version&gt;/</w:t>
            </w:r>
            <w:r>
              <w:t xml:space="preserve"> breaks on every extension update; </w:t>
            </w:r>
            <w:r>
              <w:rPr>
                <w:rStyle w:val="CodeChar"/>
              </w:rPr>
              <w:t xml:space="preserve">node</w:t>
            </w:r>
            <w:r>
              <w:t xml:space="preserve"> may not be on PATH.</w:t>
            </w:r>
          </w:p>
        </w:tc>
        <w:tc>
          <w:tcPr>
            <w:tcW w:w="2618" w:type="dxa"/>
          </w:tcPr>
          <w:p>
            <w:pPr/>
            <w:r>
              <w:t xml:space="preserve">Copy a small launcher shim to a stable location (e.g. </w:t>
            </w:r>
            <w:r>
              <w:rPr>
                <w:rStyle w:val="CodeChar"/>
              </w:rPr>
              <w:t xml:space="preserve">globalStorageUri</w:t>
            </w:r>
            <w:r>
              <w:t xml:space="preserve">) on activation; launch via VS Code's Electron with </w:t>
            </w:r>
            <w:r>
              <w:rPr>
                <w:rStyle w:val="CodeChar"/>
              </w:rPr>
              <w:t xml:space="preserve">ELECTRON_RUN_AS_NODE=1</w:t>
            </w:r>
            <w:r>
              <w:t xml:space="preserve"> or document the Node requirement; use the VS Code MCP provider API for in-editor agents.</w:t>
            </w:r>
          </w:p>
        </w:tc>
      </w:tr>
      <w:tr>
        <w:tc>
          <w:tcPr>
            <w:tcW w:w="720" w:type="dxa"/>
          </w:tcPr>
          <w:p>
            <w:pPr/>
            <w:r>
              <w:t xml:space="preserve">C4</w:t>
            </w:r>
          </w:p>
        </w:tc>
        <w:tc>
          <w:tcPr>
            <w:tcW w:w="1748" w:type="dxa"/>
          </w:tcPr>
          <w:p>
            <w:pPr/>
            <w:r>
              <w:t xml:space="preserve">"User click" proof for webview messages is not achievable</w:t>
            </w:r>
          </w:p>
        </w:tc>
        <w:tc>
          <w:tcPr>
            <w:tcW w:w="1872" w:type="dxa"/>
          </w:tcPr>
          <w:p>
            <w:pPr/>
            <w:r>
              <w:t xml:space="preserve">§8.5 host step 1</w:t>
            </w:r>
          </w:p>
        </w:tc>
        <w:tc>
          <w:tcPr>
            <w:tcW w:w="2402" w:type="dxa"/>
          </w:tcPr>
          <w:p>
            <w:pPr/>
            <w:r>
              <w:t xml:space="preserve">Any script in the webview can post a message; the host cannot verify a physical click. Requiring a "click nonce" gives false assurance.</w:t>
            </w:r>
          </w:p>
        </w:tc>
        <w:tc>
          <w:tcPr>
            <w:tcW w:w="2618" w:type="dxa"/>
          </w:tcPr>
          <w:p>
            <w:pPr/>
            <w:r>
              <w:t xml:space="preserve">Make the native </w:t>
            </w:r>
            <w:r>
              <w:rPr>
                <w:rStyle w:val="CodeChar"/>
              </w:rPr>
              <w:t xml:space="preserve">showSaveDialog</w:t>
            </w:r>
            <w:r>
              <w:t xml:space="preserve"> (and modal confirmations for Index/Repair) the consent gate. Keep CSP strict so only your script runs. Drop the click-nonce language.</w:t>
            </w:r>
          </w:p>
        </w:tc>
      </w:tr>
      <w:tr>
        <w:tc>
          <w:tcPr>
            <w:tcW w:w="720" w:type="dxa"/>
          </w:tcPr>
          <w:p>
            <w:pPr/>
            <w:r>
              <w:t xml:space="preserve">C5</w:t>
            </w:r>
          </w:p>
        </w:tc>
        <w:tc>
          <w:tcPr>
            <w:tcW w:w="1748" w:type="dxa"/>
          </w:tcPr>
          <w:p>
            <w:pPr/>
            <w:r>
              <w:t xml:space="preserve">Two error-code registries that disagree</w:t>
            </w:r>
          </w:p>
        </w:tc>
        <w:tc>
          <w:tcPr>
            <w:tcW w:w="1872" w:type="dxa"/>
          </w:tcPr>
          <w:p>
            <w:pPr/>
            <w:r>
              <w:t xml:space="preserve">§9.6 vs §13.1</w:t>
            </w:r>
          </w:p>
        </w:tc>
        <w:tc>
          <w:tcPr>
            <w:tcW w:w="2402" w:type="dxa"/>
          </w:tcPr>
          <w:p>
            <w:pPr/>
            <w:r>
              <w:t xml:space="preserve">§13.1 introduces </w:t>
            </w:r>
            <w:r>
              <w:rPr>
                <w:rStyle w:val="CodeChar"/>
              </w:rPr>
              <w:t xml:space="preserve">SERVICE_UNAVAILABLE</w:t>
            </w:r>
            <w:r>
              <w:t xml:space="preserve">, </w:t>
            </w:r>
            <w:r>
              <w:rPr>
                <w:rStyle w:val="CodeChar"/>
              </w:rPr>
              <w:t xml:space="preserve">SERVICE_INCOMPATIBLE</w:t>
            </w:r>
            <w:r>
              <w:t xml:space="preserve">, </w:t>
            </w:r>
            <w:r>
              <w:rPr>
                <w:rStyle w:val="CodeChar"/>
              </w:rPr>
              <w:t xml:space="preserve">EMBEDDING_UNAVAILABLE</w:t>
            </w:r>
            <w:r>
              <w:t xml:space="preserve">, </w:t>
            </w:r>
            <w:r>
              <w:rPr>
                <w:rStyle w:val="CodeChar"/>
              </w:rPr>
              <w:t xml:space="preserve">PERMISSION_DENIED</w:t>
            </w:r>
            <w:r>
              <w:t xml:space="preserve">, which §9.6 omits.</w:t>
            </w:r>
          </w:p>
        </w:tc>
        <w:tc>
          <w:tcPr>
            <w:tcW w:w="2618" w:type="dxa"/>
          </w:tcPr>
          <w:p>
            <w:pPr/>
            <w:r>
              <w:t xml:space="preserve">One </w:t>
            </w:r>
            <w:r>
              <w:rPr>
                <w:rStyle w:val="CodeChar"/>
              </w:rPr>
              <w:t xml:space="preserve">errors.ts</w:t>
            </w:r>
            <w:r>
              <w:t xml:space="preserve"> registry in contracts, one table in the plan, each code tagged with the plane that emits it.</w:t>
            </w:r>
          </w:p>
        </w:tc>
      </w:tr>
      <w:tr>
        <w:tc>
          <w:tcPr>
            <w:tcW w:w="720" w:type="dxa"/>
          </w:tcPr>
          <w:p>
            <w:pPr/>
            <w:r>
              <w:t xml:space="preserve">C6</w:t>
            </w:r>
          </w:p>
        </w:tc>
        <w:tc>
          <w:tcPr>
            <w:tcW w:w="1748" w:type="dxa"/>
          </w:tcPr>
          <w:p>
            <w:pPr/>
            <w:r>
              <w:t xml:space="preserve">1.3.1 residue in contracts</w:t>
            </w:r>
          </w:p>
        </w:tc>
        <w:tc>
          <w:tcPr>
            <w:tcW w:w="1872" w:type="dxa"/>
          </w:tcPr>
          <w:p>
            <w:pPr/>
            <w:r>
              <w:t xml:space="preserve">§7.5 </w:t>
            </w:r>
            <w:r>
              <w:rPr>
                <w:rStyle w:val="CodeChar"/>
              </w:rPr>
              <w:t xml:space="preserve">retrievalHelperVersion</w:t>
            </w:r>
            <w:r>
              <w:t xml:space="preserve">; §4.5 "native"/"Rust" wording; §15.1 </w:t>
            </w:r>
            <w:r>
              <w:rPr>
                <w:rStyle w:val="CodeChar"/>
              </w:rPr>
              <w:t xml:space="preserve">airk tools</w:t>
            </w:r>
            <w:r>
              <w:t xml:space="preserve"> CLI</w:t>
            </w:r>
          </w:p>
        </w:tc>
        <w:tc>
          <w:tcPr>
            <w:tcW w:w="2402" w:type="dxa"/>
          </w:tcPr>
          <w:p>
            <w:pPr/>
            <w:r>
              <w:t xml:space="preserve">Codex will build a field or code path for a helper that no longer exists.</w:t>
            </w:r>
          </w:p>
        </w:tc>
        <w:tc>
          <w:tcPr>
            <w:tcW w:w="2618" w:type="dxa"/>
          </w:tcPr>
          <w:p>
            <w:pPr/>
            <w:r>
              <w:t xml:space="preserve">Replace with </w:t>
            </w:r>
            <w:r>
              <w:rPr>
                <w:rStyle w:val="CodeChar"/>
              </w:rPr>
              <w:t xml:space="preserve">serviceVersion</w:t>
            </w:r>
            <w:r>
              <w:t xml:space="preserve">, </w:t>
            </w:r>
            <w:r>
              <w:rPr>
                <w:rStyle w:val="CodeChar"/>
              </w:rPr>
              <w:t xml:space="preserve">protocolVersion</w:t>
            </w:r>
            <w:r>
              <w:t xml:space="preserve">, </w:t>
            </w:r>
            <w:r>
              <w:rPr>
                <w:rStyle w:val="CodeChar"/>
              </w:rPr>
              <w:t xml:space="preserve">serviceInstanceId</w:t>
            </w:r>
            <w:r>
              <w:t xml:space="preserve">, </w:t>
            </w:r>
            <w:r>
              <w:rPr>
                <w:rStyle w:val="CodeChar"/>
              </w:rPr>
              <w:t xml:space="preserve">embedComponentVersion?</w:t>
            </w:r>
            <w:r>
              <w:t xml:space="preserve">. Search-and-fix every "native Rust" reference.</w:t>
            </w:r>
          </w:p>
        </w:tc>
      </w:tr>
      <w:tr>
        <w:tc>
          <w:tcPr>
            <w:tcW w:w="720" w:type="dxa"/>
          </w:tcPr>
          <w:p>
            <w:pPr/>
            <w:r>
              <w:t xml:space="preserve">C7</w:t>
            </w:r>
          </w:p>
        </w:tc>
        <w:tc>
          <w:tcPr>
            <w:tcW w:w="1748" w:type="dxa"/>
          </w:tcPr>
          <w:p>
            <w:pPr/>
            <w:r>
              <w:t xml:space="preserve">Determinism claim has an unstated dependency</w:t>
            </w:r>
          </w:p>
        </w:tc>
        <w:tc>
          <w:tcPr>
            <w:tcW w:w="1872" w:type="dxa"/>
          </w:tcPr>
          <w:p>
            <w:pPr/>
            <w:r>
              <w:t xml:space="preserve">ST-09, §7.4 step 6</w:t>
            </w:r>
          </w:p>
        </w:tc>
        <w:tc>
          <w:tcPr>
            <w:tcW w:w="2402" w:type="dxa"/>
          </w:tcPr>
          <w:p>
            <w:pPr/>
            <w:r>
              <w:t xml:space="preserve">Byte-identical prompts require the service to return stable ordering and stable truncation for identical inputs. The plan never asks whether 1.4 guarantees this.</w:t>
            </w:r>
          </w:p>
        </w:tc>
        <w:tc>
          <w:tcPr>
            <w:tcW w:w="2618" w:type="dxa"/>
          </w:tcPr>
          <w:p>
            <w:pPr/>
            <w:r>
              <w:t xml:space="preserve">Add it to C1's contract. If not guaranteed, the compiler must re-sort all records by a total key before packing, and ST-09 must test with shuffled fixture order.</w:t>
            </w:r>
          </w:p>
        </w:tc>
      </w:tr>
      <w:tr>
        <w:tc>
          <w:tcPr>
            <w:tcW w:w="720" w:type="dxa"/>
          </w:tcPr>
          <w:p>
            <w:pPr/>
            <w:r>
              <w:t xml:space="preserve">C8</w:t>
            </w:r>
          </w:p>
        </w:tc>
        <w:tc>
          <w:tcPr>
            <w:tcW w:w="1748" w:type="dxa"/>
          </w:tcPr>
          <w:p>
            <w:pPr/>
            <w:r>
              <w:t xml:space="preserve">Planner </w:t>
            </w:r>
            <w:r>
              <w:rPr>
                <w:rStyle w:val="CodeChar"/>
              </w:rPr>
              <w:t xml:space="preserve">save</w:t>
            </w:r>
            <w:r>
              <w:t xml:space="preserve"> field kept "for compatibility"</w:t>
            </w:r>
          </w:p>
        </w:tc>
        <w:tc>
          <w:tcPr>
            <w:tcW w:w="1872" w:type="dxa"/>
          </w:tcPr>
          <w:p>
            <w:pPr/>
            <w:r>
              <w:t xml:space="preserve">§9.4</w:t>
            </w:r>
          </w:p>
        </w:tc>
        <w:tc>
          <w:tcPr>
            <w:tcW w:w="2402" w:type="dxa"/>
          </w:tcPr>
          <w:p>
            <w:pPr/>
            <w:r>
              <w:rPr>
                <w:rStyle w:val="CodeChar"/>
              </w:rPr>
              <w:t xml:space="preserve">airk_explorer_suggest_plan</w:t>
            </w:r>
            <w:r>
              <w:t xml:space="preserve"> is new; there is nothing to be compatible with. A field that must always be </w:t>
            </w:r>
            <w:r>
              <w:rPr>
                <w:rStyle w:val="CodeChar"/>
              </w:rPr>
              <w:t xml:space="preserve">false</w:t>
            </w:r>
            <w:r>
              <w:t xml:space="preserve"> invites confusion.</w:t>
            </w:r>
          </w:p>
        </w:tc>
        <w:tc>
          <w:tcPr>
            <w:tcW w:w="2618" w:type="dxa"/>
          </w:tcPr>
          <w:p>
            <w:pPr/>
            <w:r>
              <w:t xml:space="preserve">Remove the field from the schema. </w:t>
            </w:r>
            <w:r>
              <w:rPr>
                <w:rStyle w:val="CodeChar"/>
              </w:rPr>
              <w:t xml:space="preserve">additionalProperties:false</w:t>
            </w:r>
            <w:r>
              <w:t xml:space="preserve"> already rejects it.</w:t>
            </w:r>
          </w:p>
        </w:tc>
      </w:tr>
    </w:tbl>
    <w:p>
      <w:pPr>
        <w:pStyle w:val="Heading2"/>
      </w:pPr>
      <w:r>
        <w:t xml:space="preserve">Structure, length and editorial problems</w:t>
      </w:r>
    </w:p>
    <w:p>
      <w:pPr/>
      <w:r>
        <w:t xml:space="preserve">The plan reads as a 1.3.1 specification with 1.4 constraints pasted into every section. The result is long, emphatic and hard for an agent to prioritise.</w:t>
      </w:r>
    </w:p>
    <w:p>
      <w:pPr>
        <w:pStyle w:val="ListParagraph"/>
        <w:numPr>
          <w:ilvl w:val="0"/>
          <w:numId w:val="4"/>
        </w:numPr>
      </w:pPr>
      <w:r>
        <w:rPr>
          <w:b/>
        </w:rPr>
        <w:t xml:space="preserve">Repetition.</w:t>
      </w:r>
      <w:r>
        <w:t xml:space="preserve"> The single-VSIX rule, unchanged 15 tools, no-backend-calls from Assistance, and "do not invent endpoints" each recur in §0, §1, §3, §4, §9, §10, §12, §15, §16 and Appendix B. Define them once as numbered invariants and cite "(INV-3)" elsewhere.</w:t>
      </w:r>
    </w:p>
    <w:p>
      <w:pPr>
        <w:pStyle w:val="ListParagraph"/>
        <w:numPr>
          <w:ilvl w:val="0"/>
          <w:numId w:val="4"/>
        </w:numPr>
      </w:pPr>
      <w:r>
        <w:rPr>
          <w:b/>
        </w:rPr>
        <w:t xml:space="preserve">Bold saturation.</w:t>
      </w:r>
      <w:r>
        <w:t xml:space="preserve"> When most sentences carry bold, nothing stands out. Reserve bold for invariant IDs and MUST statements.</w:t>
      </w:r>
    </w:p>
    <w:p>
      <w:pPr>
        <w:pStyle w:val="ListParagraph"/>
        <w:numPr>
          <w:ilvl w:val="0"/>
          <w:numId w:val="4"/>
        </w:numPr>
      </w:pPr>
      <w:r>
        <w:rPr>
          <w:b/>
        </w:rPr>
        <w:t xml:space="preserve">Normative language is inconsistent.</w:t>
      </w:r>
      <w:r>
        <w:t xml:space="preserve"> "Must," "never," "should," "prefer" and "do not" are used interchangeably. Adopt RFC 2119 keywords and a one-line definitions note in §0.</w:t>
      </w:r>
    </w:p>
    <w:p>
      <w:pPr>
        <w:pStyle w:val="ListParagraph"/>
        <w:numPr>
          <w:ilvl w:val="0"/>
          <w:numId w:val="4"/>
        </w:numPr>
      </w:pPr>
      <w:r>
        <w:rPr>
          <w:b/>
        </w:rPr>
        <w:t xml:space="preserve">Requirements have no IDs.</w:t>
      </w:r>
      <w:r>
        <w:t xml:space="preserve"> Tests have IDs (EX-, ST-, MCP-, UI-, SVC-), but requirements do not, so there is no traceability. Give each requirement an ID (e.g. REQ-PLN-04) and add a test column that cites it.</w:t>
      </w:r>
    </w:p>
    <w:p>
      <w:pPr>
        <w:pStyle w:val="ListParagraph"/>
        <w:numPr>
          <w:ilvl w:val="0"/>
          <w:numId w:val="4"/>
        </w:numPr>
      </w:pPr>
      <w:r>
        <w:rPr>
          <w:b/>
        </w:rPr>
        <w:t xml:space="preserve">Mixed audiences in one file.</w:t>
      </w:r>
      <w:r>
        <w:t xml:space="preserve"> Codex needs contracts, phase tasks and gates. Reviewers need rationale and threat analysis. Product needs journeys. Split into a short Codex brief (about 40% of the current length) plus a rationale/appendix file the brief links to.</w:t>
      </w:r>
    </w:p>
    <w:p>
      <w:pPr>
        <w:pStyle w:val="ListParagraph"/>
        <w:numPr>
          <w:ilvl w:val="0"/>
          <w:numId w:val="4"/>
        </w:numPr>
      </w:pPr>
      <w:r>
        <w:rPr>
          <w:b/>
        </w:rPr>
        <w:t xml:space="preserve">Prototype guidance lives in the spec.</w:t>
      </w:r>
      <w:r>
        <w:t xml:space="preserve"> §11.4–11.5 (forced desktop CSS and JS) are standalone-HTML concerns, not VSIX requirements. Move them to an appendix for the preview artifact.</w:t>
      </w:r>
    </w:p>
    <w:p>
      <w:pPr>
        <w:pStyle w:val="ListParagraph"/>
        <w:numPr>
          <w:ilvl w:val="0"/>
          <w:numId w:val="4"/>
        </w:numPr>
      </w:pPr>
      <w:r>
        <w:rPr>
          <w:b/>
        </w:rPr>
        <w:t xml:space="preserve">Proposed vs shipped is marked ad hoc.</w:t>
      </w:r>
      <w:r>
        <w:t xml:space="preserve"> Use one status tag per section header: </w:t>
      </w:r>
      <w:r>
        <w:rPr>
          <w:rStyle w:val="CodeChar"/>
        </w:rPr>
        <w:t xml:space="preserve">[baseline]</w:t>
      </w:r>
      <w:r>
        <w:t xml:space="preserve">, </w:t>
      </w:r>
      <w:r>
        <w:rPr>
          <w:rStyle w:val="CodeChar"/>
        </w:rPr>
        <w:t xml:space="preserve">[R1]</w:t>
      </w:r>
      <w:r>
        <w:t xml:space="preserve">, </w:t>
      </w:r>
      <w:r>
        <w:rPr>
          <w:rStyle w:val="CodeChar"/>
        </w:rPr>
        <w:t xml:space="preserve">[future]</w:t>
      </w:r>
      <w:r>
        <w:t xml:space="preserve">, matching the feature manifest's </w:t>
      </w:r>
      <w:r>
        <w:rPr>
          <w:rStyle w:val="CodeChar"/>
        </w:rPr>
        <w:t xml:space="preserve">availability</w:t>
      </w:r>
      <w:r>
        <w:t xml:space="preserve"> values.</w:t>
      </w:r>
    </w:p>
    <w:p>
      <w:pPr>
        <w:pStyle w:val="Heading2"/>
      </w:pPr>
      <w:r>
        <w:t xml:space="preserve">Architecture and contract recommendations</w:t>
      </w:r>
    </w:p>
    <w:p>
      <w:pPr/>
      <w:r>
        <w:t xml:space="preserve">The layering is right; the gaps are in multi-window behaviour, persistence and the seams needed for a future team server.</w:t>
      </w:r>
    </w:p>
    <w:p>
      <w:pPr>
        <w:pStyle w:val="ListParagraph"/>
        <w:numPr>
          <w:ilvl w:val="0"/>
          <w:numId w:val="5"/>
        </w:numPr>
      </w:pPr>
      <w:r>
        <w:rPr>
          <w:b/>
        </w:rPr>
        <w:t xml:space="preserve">Define multi-window ownership.</w:t>
      </w:r>
      <w:r>
        <w:t xml:space="preserve"> Each VS Code window has its own extension host, so "the single owner" is really one owner per window. State whether the 1.4 service accepts concurrent clients, whether two windows on one collection share a publication stream, and who may run Index or Repair while another window is mid-run.</w:t>
      </w:r>
    </w:p>
    <w:p>
      <w:pPr>
        <w:pStyle w:val="ListParagraph"/>
        <w:numPr>
          <w:ilvl w:val="0"/>
          <w:numId w:val="5"/>
        </w:numPr>
      </w:pPr>
      <w:r>
        <w:rPr>
          <w:b/>
        </w:rPr>
        <w:t xml:space="preserve">Make </w:t>
      </w:r>
      <w:r>
        <w:rPr>
          <w:rStyle w:val="CodeChar"/>
          <w:b/>
        </w:rPr>
        <w:t xml:space="preserve">CollectionBinding</w:t>
      </w:r>
      <w:r>
        <w:rPr>
          <w:b/>
        </w:rPr>
        <w:t xml:space="preserve"> location-agnostic now.</w:t>
      </w:r>
      <w:r>
        <w:t xml:space="preserve"> Model the service as </w:t>
      </w:r>
      <w:r>
        <w:rPr>
          <w:rStyle w:val="CodeChar"/>
        </w:rPr>
        <w:t xml:space="preserve">{kind: 'local' | 'remote', instanceId, endpointLabel}</w:t>
      </w:r>
      <w:r>
        <w:t xml:space="preserve"> even though only </w:t>
      </w:r>
      <w:r>
        <w:rPr>
          <w:rStyle w:val="CodeChar"/>
        </w:rPr>
        <w:t xml:space="preserve">local</w:t>
      </w:r>
      <w:r>
        <w:t xml:space="preserve"> ships. This is the seam a future team server needs, and it costs almost nothing in R0.</w:t>
      </w:r>
    </w:p>
    <w:p>
      <w:pPr>
        <w:pStyle w:val="ListParagraph"/>
        <w:numPr>
          <w:ilvl w:val="0"/>
          <w:numId w:val="5"/>
        </w:numPr>
      </w:pPr>
      <w:r>
        <w:rPr>
          <w:b/>
        </w:rPr>
        <w:t xml:space="preserve">Version and migrate every persisted schema.</w:t>
      </w:r>
      <w:r>
        <w:t xml:space="preserve"> The plan versions strategy, run, plan and rule files, but says nothing about queue storage, inbox retention, dispositions or user recipes across extension upgrades. Add one </w:t>
      </w:r>
      <w:r>
        <w:rPr>
          <w:rStyle w:val="CodeChar"/>
        </w:rPr>
        <w:t xml:space="preserve">StorageMigrator</w:t>
      </w:r>
      <w:r>
        <w:t xml:space="preserve"> with forward migrations and a test that loads each prior version.</w:t>
      </w:r>
    </w:p>
    <w:p>
      <w:pPr>
        <w:pStyle w:val="ListParagraph"/>
        <w:numPr>
          <w:ilvl w:val="0"/>
          <w:numId w:val="5"/>
        </w:numPr>
      </w:pPr>
      <w:r>
        <w:rPr>
          <w:b/>
        </w:rPr>
        <w:t xml:space="preserve">Specify settings contributions.</w:t>
      </w:r>
      <w:r>
        <w:t xml:space="preserve"> No </w:t>
      </w:r>
      <w:r>
        <w:rPr>
          <w:rStyle w:val="CodeChar"/>
        </w:rPr>
        <w:t xml:space="preserve">contributes.configuration</w:t>
      </w:r>
      <w:r>
        <w:t xml:space="preserve"> keys are listed: default retrieval mode, evidence budgets, strict E4 provider allowlist, Assistance enablement, plan directory hint, retention TTLs. Name them and their defaults so behaviour is reviewable.</w:t>
      </w:r>
    </w:p>
    <w:p>
      <w:pPr>
        <w:pStyle w:val="ListParagraph"/>
        <w:numPr>
          <w:ilvl w:val="0"/>
          <w:numId w:val="5"/>
        </w:numPr>
      </w:pPr>
      <w:r>
        <w:rPr>
          <w:b/>
        </w:rPr>
        <w:t xml:space="preserve">Name feature flags.</w:t>
      </w:r>
      <w:r>
        <w:t xml:space="preserve"> "Explicit feature flags for unshipped functionality" needs concrete keys tied to the route manifest (</w:t>
      </w:r>
      <w:r>
        <w:rPr>
          <w:rStyle w:val="CodeChar"/>
        </w:rPr>
        <w:t xml:space="preserve">airk.explorer.feature.planner</w:t>
      </w:r>
      <w:r>
        <w:t xml:space="preserve">, etc.) and a rule for how flags move from </w:t>
      </w:r>
      <w:r>
        <w:rPr>
          <w:rStyle w:val="CodeChar"/>
        </w:rPr>
        <w:t xml:space="preserve">prototype_only</w:t>
      </w:r>
      <w:r>
        <w:t xml:space="preserve"> to </w:t>
      </w:r>
      <w:r>
        <w:rPr>
          <w:rStyle w:val="CodeChar"/>
        </w:rPr>
        <w:t xml:space="preserve">implemented</w:t>
      </w:r>
      <w:r>
        <w:t xml:space="preserve">.</w:t>
      </w:r>
    </w:p>
    <w:p>
      <w:pPr>
        <w:pStyle w:val="ListParagraph"/>
        <w:numPr>
          <w:ilvl w:val="0"/>
          <w:numId w:val="5"/>
        </w:numPr>
      </w:pPr>
      <w:r>
        <w:rPr>
          <w:b/>
        </w:rPr>
        <w:t xml:space="preserve">Add an activation and bundle budget.</w:t>
      </w:r>
      <w:r>
        <w:t xml:space="preserve"> Lazy loading is stated as intent. Set numbers: e.g. no more than 20 ms added to activation, webview bundle under 1.5 MB gzipped, Assistance entrypoint cold start under 300 ms. Measure in CI.</w:t>
      </w:r>
    </w:p>
    <w:p>
      <w:pPr>
        <w:pStyle w:val="ListParagraph"/>
        <w:numPr>
          <w:ilvl w:val="0"/>
          <w:numId w:val="5"/>
        </w:numPr>
      </w:pPr>
      <w:r>
        <w:rPr>
          <w:b/>
        </w:rPr>
        <w:t xml:space="preserve">Expose help as MCP resources and templates as MCP prompts.</w:t>
      </w:r>
      <w:r>
        <w:t xml:space="preserve"> MCP already has </w:t>
      </w:r>
      <w:r>
        <w:rPr>
          <w:rStyle w:val="CodeChar"/>
        </w:rPr>
        <w:t xml:space="preserve">resources</w:t>
      </w:r>
      <w:r>
        <w:t xml:space="preserve"> and </w:t>
      </w:r>
      <w:r>
        <w:rPr>
          <w:rStyle w:val="CodeChar"/>
        </w:rPr>
        <w:t xml:space="preserve">prompts</w:t>
      </w:r>
      <w:r>
        <w:t xml:space="preserve"> primitives. Serving help topics as resources and the 25 strategy templates as prompts gives agents native discovery without new tools, and stays inert by design.</w:t>
      </w:r>
    </w:p>
    <w:p>
      <w:pPr>
        <w:pStyle w:val="ListParagraph"/>
        <w:numPr>
          <w:ilvl w:val="0"/>
          <w:numId w:val="5"/>
        </w:numPr>
      </w:pPr>
      <w:r>
        <w:rPr>
          <w:b/>
        </w:rPr>
        <w:t xml:space="preserve">Clarify </w:t>
      </w:r>
      <w:r>
        <w:rPr>
          <w:rStyle w:val="CodeChar"/>
          <w:b/>
        </w:rPr>
        <w:t xml:space="preserve">airk_changes</w:t>
      </w:r>
      <w:r>
        <w:rPr>
          <w:b/>
        </w:rPr>
        <w:t xml:space="preserve"> usage in the citation checker.</w:t>
      </w:r>
      <w:r>
        <w:t xml:space="preserve"> §5.6 relies on it for validation, but §4.1 says it checks evidence against the current publication only. Spell out the selectors it accepts so the checker does not over-promise "moved" detection.</w:t>
      </w:r>
    </w:p>
    <w:p>
      <w:pPr>
        <w:pStyle w:val="ListParagraph"/>
        <w:numPr>
          <w:ilvl w:val="0"/>
          <w:numId w:val="5"/>
        </w:numPr>
      </w:pPr>
      <w:r>
        <w:rPr>
          <w:b/>
        </w:rPr>
        <w:t xml:space="preserve">Localisation.</w:t>
      </w:r>
      <w:r>
        <w:t xml:space="preserve"> No mention of </w:t>
      </w:r>
      <w:r>
        <w:rPr>
          <w:rStyle w:val="CodeChar"/>
        </w:rPr>
        <w:t xml:space="preserve">vscode.l10n</w:t>
      </w:r>
      <w:r>
        <w:t xml:space="preserve">. Even if English-only at launch, routing UI strings through l10n from R0 avoids a later sweep.</w:t>
      </w:r>
    </w:p>
    <w:p>
      <w:pPr>
        <w:pStyle w:val="Heading2"/>
      </w:pPr>
      <w:r>
        <w:t xml:space="preserve">Security and trust model recommendations</w:t>
      </w:r>
    </w:p>
    <w:p>
      <w:pPr/>
      <w:r>
        <w:t xml:space="preserve">The threat matrix is thorough; it needs a few corrections and some missing threats.</w:t>
      </w:r>
    </w:p>
    <w:p>
      <w:pPr>
        <w:pStyle w:val="ListParagraph"/>
        <w:numPr>
          <w:ilvl w:val="0"/>
          <w:numId w:val="6"/>
        </w:numPr>
      </w:pPr>
      <w:r>
        <w:rPr>
          <w:b/>
        </w:rPr>
        <w:t xml:space="preserve">Rendezvous discovery for the Assistance IPC.</w:t>
      </w:r>
      <w:r>
        <w:t xml:space="preserve"> An external agent's stdio process must find the right window's pipe or socket. Specify the descriptor file (location, ACLs, TTL), how it maps a workspace root to a window, and what happens when two windows open the same root. Without this, </w:t>
      </w:r>
      <w:r>
        <w:rPr>
          <w:rStyle w:val="CodeChar"/>
        </w:rPr>
        <w:t xml:space="preserve">AMBIGUOUS_TARGET</w:t>
      </w:r>
      <w:r>
        <w:t xml:space="preserve"> will be the common case.</w:t>
      </w:r>
    </w:p>
    <w:p>
      <w:pPr>
        <w:pStyle w:val="ListParagraph"/>
        <w:numPr>
          <w:ilvl w:val="0"/>
          <w:numId w:val="6"/>
        </w:numPr>
      </w:pPr>
      <w:r>
        <w:rPr>
          <w:b/>
        </w:rPr>
        <w:t xml:space="preserve">Credential handoff.</w:t>
      </w:r>
      <w:r>
        <w:t xml:space="preserve"> Explain how the stdio process obtains the short-lived session credential without it appearing in agent config files, process arguments or environment dumps. Reading it from the ACL-protected descriptor at connect time is the usual answer.</w:t>
      </w:r>
    </w:p>
    <w:p>
      <w:pPr>
        <w:pStyle w:val="ListParagraph"/>
        <w:numPr>
          <w:ilvl w:val="0"/>
          <w:numId w:val="6"/>
        </w:numPr>
      </w:pPr>
      <w:r>
        <w:rPr>
          <w:b/>
        </w:rPr>
        <w:t xml:space="preserve">Path checks on non-</w:t>
      </w:r>
      <w:r>
        <w:rPr>
          <w:rStyle w:val="CodeChar"/>
          <w:b/>
        </w:rPr>
        <w:t xml:space="preserve">file</w:t>
      </w:r>
      <w:r>
        <w:rPr>
          <w:b/>
        </w:rPr>
        <w:t xml:space="preserve"> schemes.</w:t>
      </w:r>
      <w:r>
        <w:t xml:space="preserve"> Realpath and symlink resolution are unavailable for many </w:t>
      </w:r>
      <w:r>
        <w:rPr>
          <w:rStyle w:val="CodeChar"/>
        </w:rPr>
        <w:t xml:space="preserve">FileSystemProvider</w:t>
      </w:r>
      <w:r>
        <w:t xml:space="preserve"> schemes (e.g. </w:t>
      </w:r>
      <w:r>
        <w:rPr>
          <w:rStyle w:val="CodeChar"/>
        </w:rPr>
        <w:t xml:space="preserve">vscode-remote</w:t>
      </w:r>
      <w:r>
        <w:t xml:space="preserve">, virtual file systems). Define the fallback: scheme allowlist plus parent-URI containment plus readback, and refuse saves on schemes that cannot be checked.</w:t>
      </w:r>
    </w:p>
    <w:p>
      <w:pPr>
        <w:pStyle w:val="ListParagraph"/>
        <w:numPr>
          <w:ilvl w:val="0"/>
          <w:numId w:val="6"/>
        </w:numPr>
      </w:pPr>
      <w:r>
        <w:rPr>
          <w:b/>
        </w:rPr>
        <w:t xml:space="preserve">Markdown rendering of evidence and proposals.</w:t>
      </w:r>
      <w:r>
        <w:t xml:space="preserve"> Name the sanitiser and its config (no raw HTML, no </w:t>
      </w:r>
      <w:r>
        <w:rPr>
          <w:rStyle w:val="CodeChar"/>
        </w:rPr>
        <w:t xml:space="preserve">javascript:</w:t>
      </w:r>
      <w:r>
        <w:t xml:space="preserve"> or </w:t>
      </w:r>
      <w:r>
        <w:rPr>
          <w:rStyle w:val="CodeChar"/>
        </w:rPr>
        <w:t xml:space="preserve">command:</w:t>
      </w:r>
      <w:r>
        <w:t xml:space="preserve"> links, image loading off). "Sanitized Markdown AST" is not specific enough to test.</w:t>
      </w:r>
    </w:p>
    <w:p>
      <w:pPr>
        <w:pStyle w:val="ListParagraph"/>
        <w:numPr>
          <w:ilvl w:val="0"/>
          <w:numId w:val="6"/>
        </w:numPr>
      </w:pPr>
      <w:r>
        <w:rPr>
          <w:rStyle w:val="CodeChar"/>
          <w:b/>
        </w:rPr>
        <w:t xml:space="preserve">command:</w:t>
      </w:r>
      <w:r>
        <w:rPr>
          <w:b/>
        </w:rPr>
        <w:t xml:space="preserve"> URIs.</w:t>
      </w:r>
      <w:r>
        <w:t xml:space="preserve"> VS Code webviews and Markdown can trigger commands through </w:t>
      </w:r>
      <w:r>
        <w:rPr>
          <w:rStyle w:val="CodeChar"/>
        </w:rPr>
        <w:t xml:space="preserve">command:</w:t>
      </w:r>
      <w:r>
        <w:t xml:space="preserve"> links. Add an explicit rule: webview </w:t>
      </w:r>
      <w:r>
        <w:rPr>
          <w:rStyle w:val="CodeChar"/>
        </w:rPr>
        <w:t xml:space="preserve">enableCommandUris</w:t>
      </w:r>
      <w:r>
        <w:t xml:space="preserve"> stays false, and exported reports never contain </w:t>
      </w:r>
      <w:r>
        <w:rPr>
          <w:rStyle w:val="CodeChar"/>
        </w:rPr>
        <w:t xml:space="preserve">command:</w:t>
      </w:r>
      <w:r>
        <w:t xml:space="preserve"> links.</w:t>
      </w:r>
    </w:p>
    <w:p>
      <w:pPr>
        <w:pStyle w:val="ListParagraph"/>
        <w:numPr>
          <w:ilvl w:val="0"/>
          <w:numId w:val="6"/>
        </w:numPr>
      </w:pPr>
      <w:r>
        <w:rPr>
          <w:b/>
        </w:rPr>
        <w:t xml:space="preserve">Supply chain.</w:t>
      </w:r>
      <w:r>
        <w:t xml:space="preserve"> Add an SBOM, lockfile pinning and dependency review for the webview and Assistance bundles, since both ship inside a signed VSIX that runs with user privileges.</w:t>
      </w:r>
    </w:p>
    <w:p>
      <w:pPr>
        <w:pStyle w:val="ListParagraph"/>
        <w:numPr>
          <w:ilvl w:val="0"/>
          <w:numId w:val="6"/>
        </w:numPr>
      </w:pPr>
      <w:r>
        <w:rPr>
          <w:b/>
        </w:rPr>
        <w:t xml:space="preserve">Telemetry default.</w:t>
      </w:r>
      <w:r>
        <w:t xml:space="preserve"> State that Explorer adds no telemetry beyond what AIRK already has and respects </w:t>
      </w:r>
      <w:r>
        <w:rPr>
          <w:rStyle w:val="CodeChar"/>
        </w:rPr>
        <w:t xml:space="preserve">telemetry.telemetryLevel</w:t>
      </w:r>
      <w:r>
        <w:t xml:space="preserve">. Today the plan describes what telemetry may contain but not whether it exists.</w:t>
      </w:r>
    </w:p>
    <w:p>
      <w:pPr>
        <w:pStyle w:val="ListParagraph"/>
        <w:numPr>
          <w:ilvl w:val="0"/>
          <w:numId w:val="6"/>
        </w:numPr>
      </w:pPr>
      <w:r>
        <w:rPr>
          <w:b/>
        </w:rPr>
        <w:t xml:space="preserve">Proposal flooding UX.</w:t>
      </w:r>
      <w:r>
        <w:t xml:space="preserve"> Rate limits protect the host; also cap the visible inbox and collapse duplicates so a looping agent cannot bury real proposals.</w:t>
      </w:r>
    </w:p>
    <w:p>
      <w:pPr>
        <w:pStyle w:val="ListParagraph"/>
        <w:numPr>
          <w:ilvl w:val="0"/>
          <w:numId w:val="6"/>
        </w:numPr>
      </w:pPr>
      <w:r>
        <w:rPr>
          <w:b/>
        </w:rPr>
        <w:t xml:space="preserve">Pack signing.</w:t>
      </w:r>
      <w:r>
        <w:t xml:space="preserve"> "Validated signed/installed origin" needs a decision: which key, who signs built-ins, and whether unsigned declarative packs are allowed with a warning.</w:t>
      </w:r>
    </w:p>
    <w:p>
      <w:pPr>
        <w:pStyle w:val="Heading2"/>
      </w:pPr>
      <w:r>
        <w:t xml:space="preserve">Strategy Studio, Queue and Planner recommendations</w:t>
      </w:r>
    </w:p>
    <w:p>
      <w:pPr/>
      <w:r>
        <w:t xml:space="preserve">This is the product's main value for agent users; simplify the objects and close the feedback loop.</w:t>
      </w:r>
    </w:p>
    <w:p>
      <w:pPr>
        <w:pStyle w:val="ListParagraph"/>
        <w:numPr>
          <w:ilvl w:val="0"/>
          <w:numId w:val="7"/>
        </w:numPr>
      </w:pPr>
      <w:r>
        <w:rPr>
          <w:b/>
        </w:rPr>
        <w:t xml:space="preserve">Merge Queue into Planner until dispatch exists.</w:t>
      </w:r>
      <w:r>
        <w:t xml:space="preserve"> Both hold ordered prompts with dependencies and gates. With manual handoff only, a Queue job is a Planner task that has not been saved. Keep one object (Planner task) and reintroduce Queue in R6 when adapters need run state. This removes a whole state machine from R4.</w:t>
      </w:r>
    </w:p>
    <w:p>
      <w:pPr>
        <w:pStyle w:val="ListParagraph"/>
        <w:numPr>
          <w:ilvl w:val="0"/>
          <w:numId w:val="7"/>
        </w:numPr>
      </w:pPr>
      <w:r>
        <w:rPr>
          <w:b/>
        </w:rPr>
        <w:t xml:space="preserve">Add machine-readable front matter to saved plans.</w:t>
      </w:r>
      <w:r>
        <w:t xml:space="preserve"> Put task IDs, dependencies, evidence states, publication token and plan schema version in YAML front matter. Explorer can then re-open a plan, detect drift, and track task status; agents can parse scope reliably.</w:t>
      </w:r>
    </w:p>
    <w:p>
      <w:pPr>
        <w:pStyle w:val="ListParagraph"/>
        <w:numPr>
          <w:ilvl w:val="0"/>
          <w:numId w:val="7"/>
        </w:numPr>
      </w:pPr>
      <w:r>
        <w:rPr>
          <w:b/>
        </w:rPr>
        <w:t xml:space="preserve">Close the loop with completion reports.</w:t>
      </w:r>
      <w:r>
        <w:t xml:space="preserve"> Define the completion report format the plan asks agents for, then let the user paste or point to it. Explorer runs the citation checker over it and moves tasks to Review or NeedsWork. This turns the Planner from a write-only handoff into a tracked workflow.</w:t>
      </w:r>
    </w:p>
    <w:p>
      <w:pPr>
        <w:pStyle w:val="ListParagraph"/>
        <w:numPr>
          <w:ilvl w:val="0"/>
          <w:numId w:val="7"/>
        </w:numPr>
      </w:pPr>
      <w:r>
        <w:rPr>
          <w:b/>
        </w:rPr>
        <w:t xml:space="preserve">Show the 22 non-runnable templates honestly.</w:t>
      </w:r>
      <w:r>
        <w:t xml:space="preserve"> Label them </w:t>
      </w:r>
      <w:r>
        <w:rPr>
          <w:rStyle w:val="CodeChar"/>
        </w:rPr>
        <w:t xml:space="preserve">Preview</w:t>
      </w:r>
      <w:r>
        <w:t xml:space="preserve"> with the reason (fixture not qualified) and allow Export as Portable Prompt Skeleton, so the Library is useful without implying Run works.</w:t>
      </w:r>
    </w:p>
    <w:p>
      <w:pPr>
        <w:pStyle w:val="ListParagraph"/>
        <w:numPr>
          <w:ilvl w:val="0"/>
          <w:numId w:val="7"/>
        </w:numPr>
      </w:pPr>
      <w:r>
        <w:rPr>
          <w:b/>
        </w:rPr>
        <w:t xml:space="preserve">Fingerprint fallback for unparsed files.</w:t>
      </w:r>
      <w:r>
        <w:t xml:space="preserve"> </w:t>
      </w:r>
      <w:r>
        <w:rPr>
          <w:rStyle w:val="CodeChar"/>
        </w:rPr>
        <w:t xml:space="preserve">enclosingDeclarationStableName</w:t>
      </w:r>
      <w:r>
        <w:t xml:space="preserve"> comes from E2 facts. Specify the fallback (nearest heading for Markdown, empty string plus normalised span for unknown types) so findings in unsupported languages still get stable IDs.</w:t>
      </w:r>
    </w:p>
    <w:p>
      <w:pPr>
        <w:pStyle w:val="ListParagraph"/>
        <w:numPr>
          <w:ilvl w:val="0"/>
          <w:numId w:val="7"/>
        </w:numPr>
      </w:pPr>
      <w:r>
        <w:rPr>
          <w:b/>
        </w:rPr>
        <w:t xml:space="preserve">Budget defaults by template.</w:t>
      </w:r>
      <w:r>
        <w:t xml:space="preserve"> A single 24 KB default is too small for review and migration templates and too large for explain. Put per-template defaults in the catalog and show the estimated packet size before Run.</w:t>
      </w:r>
    </w:p>
    <w:p>
      <w:pPr>
        <w:pStyle w:val="ListParagraph"/>
        <w:numPr>
          <w:ilvl w:val="0"/>
          <w:numId w:val="7"/>
        </w:numPr>
      </w:pPr>
      <w:r>
        <w:rPr>
          <w:b/>
        </w:rPr>
        <w:t xml:space="preserve">Binding expression grammar.</w:t>
      </w:r>
      <w:r>
        <w:t xml:space="preserve"> Publish the </w:t>
      </w:r>
      <w:r>
        <w:rPr>
          <w:rStyle w:val="CodeChar"/>
        </w:rPr>
        <w:t xml:space="preserve">${...}</w:t>
      </w:r>
      <w:r>
        <w:t xml:space="preserve"> grammar as EBNF with the full allowlist, so validator tests can be generated from it.</w:t>
      </w:r>
    </w:p>
    <w:p>
      <w:pPr>
        <w:pStyle w:val="ListParagraph"/>
        <w:numPr>
          <w:ilvl w:val="0"/>
          <w:numId w:val="7"/>
        </w:numPr>
      </w:pPr>
      <w:r>
        <w:rPr>
          <w:b/>
        </w:rPr>
        <w:t xml:space="preserve">Re-run on drift.</w:t>
      </w:r>
      <w:r>
        <w:t xml:space="preserve"> When a saved plan's publication is stale, offer "Refresh evidence for selected tasks" that re-runs only their source strategies and shows a diff, rather than forcing a full rebuild.</w:t>
      </w:r>
    </w:p>
    <w:p>
      <w:pPr>
        <w:pStyle w:val="Heading2"/>
      </w:pPr>
      <w:r>
        <w:t xml:space="preserve">UI and UX recommendations</w:t>
      </w:r>
    </w:p>
    <w:p>
      <w:pPr/>
      <w:r>
        <w:t xml:space="preserve">Seven workspaces is a good reduction; the remaining risks are header overload, the phone requirement and first-run experience.</w:t>
      </w:r>
    </w:p>
    <w:p>
      <w:pPr>
        <w:pStyle w:val="ListParagraph"/>
        <w:numPr>
          <w:ilvl w:val="0"/>
          <w:numId w:val="8"/>
        </w:numPr>
      </w:pPr>
      <w:r>
        <w:rPr>
          <w:b/>
        </w:rPr>
        <w:t xml:space="preserve">Descope forced desktop from the VSIX gate.</w:t>
      </w:r>
      <w:r>
        <w:t xml:space="preserve"> VS Code desktop does not run on phones, and vscode.dev on a phone is an edge case. Keep the 1440 px preview for the standalone HTML artifact and remove UI-02 to UI-04 from the R4 Definition of Done.</w:t>
      </w:r>
    </w:p>
    <w:p>
      <w:pPr>
        <w:pStyle w:val="ListParagraph"/>
        <w:numPr>
          <w:ilvl w:val="0"/>
          <w:numId w:val="8"/>
        </w:numPr>
      </w:pPr>
      <w:r>
        <w:rPr>
          <w:b/>
        </w:rPr>
        <w:t xml:space="preserve">Simplify the global header.</w:t>
      </w:r>
      <w:r>
        <w:t xml:space="preserve"> It currently carries about 12 elements (folder, collection, service state, version, publication, readiness, freshness, embed state, persona, limit, suggestions, Manage). Collapse service, embed and freshness into one status pill that expands to a detail popover, and move Results limit into each screen.</w:t>
      </w:r>
    </w:p>
    <w:p>
      <w:pPr>
        <w:pStyle w:val="ListParagraph"/>
        <w:numPr>
          <w:ilvl w:val="0"/>
          <w:numId w:val="8"/>
        </w:numPr>
      </w:pPr>
      <w:r>
        <w:rPr>
          <w:b/>
        </w:rPr>
        <w:t xml:space="preserve">Use native VS Code surfaces where they fit.</w:t>
      </w:r>
      <w:r>
        <w:t xml:space="preserve"> Findings can feed the Problems panel (already planned) and a TreeView; status belongs in the status bar; first-run setup fits a </w:t>
      </w:r>
      <w:r>
        <w:rPr>
          <w:rStyle w:val="CodeChar"/>
        </w:rPr>
        <w:t xml:space="preserve">contributes.walkthroughs</w:t>
      </w:r>
      <w:r>
        <w:t xml:space="preserve"> walkthrough. Not everything needs to live in one webview.</w:t>
      </w:r>
    </w:p>
    <w:p>
      <w:pPr>
        <w:pStyle w:val="ListParagraph"/>
        <w:numPr>
          <w:ilvl w:val="0"/>
          <w:numId w:val="8"/>
        </w:numPr>
      </w:pPr>
      <w:r>
        <w:rPr>
          <w:b/>
        </w:rPr>
        <w:t xml:space="preserve">Reconsider "persona presets."</w:t>
      </w:r>
      <w:r>
        <w:t xml:space="preserve"> They are mentioned but never defined. Either specify each preset's filters and default route, or drop them for R1–R4.</w:t>
      </w:r>
    </w:p>
    <w:p>
      <w:pPr>
        <w:pStyle w:val="ListParagraph"/>
        <w:numPr>
          <w:ilvl w:val="0"/>
          <w:numId w:val="8"/>
        </w:numPr>
      </w:pPr>
      <w:r>
        <w:rPr>
          <w:b/>
        </w:rPr>
        <w:t xml:space="preserve">Naming collision.</w:t>
      </w:r>
      <w:r>
        <w:t xml:space="preserve"> "AIRK Explorer" next to VS Code's built-in Explorer will confuse search and docs. Keep the name if desired, but always qualify it in command titles ("AIRK: Open Explorer") and the activity bar tooltip.</w:t>
      </w:r>
    </w:p>
    <w:p>
      <w:pPr>
        <w:pStyle w:val="ListParagraph"/>
        <w:numPr>
          <w:ilvl w:val="0"/>
          <w:numId w:val="8"/>
        </w:numPr>
      </w:pPr>
      <w:r>
        <w:rPr>
          <w:b/>
        </w:rPr>
        <w:t xml:space="preserve">Empty and disconnected states need designs.</w:t>
      </w:r>
      <w:r>
        <w:t xml:space="preserve"> Every screen lists the state vocabulary but none shows what the user does next. Add one-line next actions per state (e.g. Disconnected → "Open Management").</w:t>
      </w:r>
    </w:p>
    <w:p>
      <w:pPr>
        <w:pStyle w:val="Heading2"/>
      </w:pPr>
      <w:r>
        <w:t xml:space="preserve">Testing and qualification recommendations</w:t>
      </w:r>
    </w:p>
    <w:p>
      <w:pPr/>
      <w:r>
        <w:t xml:space="preserve">The roughly 110 test cases cover the right behaviours; they need classification, ownership and a real-service CI lane.</w:t>
      </w:r>
    </w:p>
    <w:p>
      <w:pPr>
        <w:pStyle w:val="ListParagraph"/>
        <w:numPr>
          <w:ilvl w:val="0"/>
          <w:numId w:val="9"/>
        </w:numPr>
      </w:pPr>
      <w:r>
        <w:rPr>
          <w:b/>
        </w:rPr>
        <w:t xml:space="preserve">Tag every test.</w:t>
      </w:r>
      <w:r>
        <w:t xml:space="preserve"> Add columns: phase gate, requirement ID, level (unit, contract, integration, E2E, manual), and automation status. Today nothing says which of the ~110 cases block a merge.</w:t>
      </w:r>
    </w:p>
    <w:p>
      <w:pPr>
        <w:pStyle w:val="ListParagraph"/>
        <w:numPr>
          <w:ilvl w:val="0"/>
          <w:numId w:val="9"/>
        </w:numPr>
      </w:pPr>
      <w:r>
        <w:rPr>
          <w:b/>
        </w:rPr>
        <w:t xml:space="preserve">Run the real 1.4 service in CI.</w:t>
      </w:r>
      <w:r>
        <w:t xml:space="preserve"> SVC tests are only meaningful against the actual </w:t>
      </w:r>
      <w:r>
        <w:rPr>
          <w:rStyle w:val="CodeChar"/>
        </w:rPr>
        <w:t xml:space="preserve">airk</w:t>
      </w:r>
      <w:r>
        <w:t xml:space="preserve"> binary. Add a CI job that starts it on the fixture repo, with and without </w:t>
      </w:r>
      <w:r>
        <w:rPr>
          <w:rStyle w:val="CodeChar"/>
        </w:rPr>
        <w:t xml:space="preserve">airk-embed</w:t>
      </w:r>
      <w:r>
        <w:t xml:space="preserve">, on Linux at minimum and Windows nightly.</w:t>
      </w:r>
    </w:p>
    <w:p>
      <w:pPr>
        <w:pStyle w:val="ListParagraph"/>
        <w:numPr>
          <w:ilvl w:val="0"/>
          <w:numId w:val="9"/>
        </w:numPr>
      </w:pPr>
      <w:r>
        <w:rPr>
          <w:b/>
        </w:rPr>
        <w:t xml:space="preserve">Golden-file tests for the compilers.</w:t>
      </w:r>
      <w:r>
        <w:t xml:space="preserve"> Snapshot the compiled prompt, Planner Markdown and report outputs for fixed fixtures. Diffs then show exactly what a template change did.</w:t>
      </w:r>
    </w:p>
    <w:p>
      <w:pPr>
        <w:pStyle w:val="ListParagraph"/>
        <w:numPr>
          <w:ilvl w:val="0"/>
          <w:numId w:val="9"/>
        </w:numPr>
      </w:pPr>
      <w:r>
        <w:rPr>
          <w:b/>
        </w:rPr>
        <w:t xml:space="preserve">Property and fuzz tests.</w:t>
      </w:r>
      <w:r>
        <w:t xml:space="preserve"> Fuzz the JSON schema validators, binding-expression parser and citation parser. Property-test fingerprints: moving a span changes location but not ID; editing the span changes ID.</w:t>
      </w:r>
    </w:p>
    <w:p>
      <w:pPr>
        <w:pStyle w:val="ListParagraph"/>
        <w:numPr>
          <w:ilvl w:val="0"/>
          <w:numId w:val="9"/>
        </w:numPr>
      </w:pPr>
      <w:r>
        <w:rPr>
          <w:b/>
        </w:rPr>
        <w:t xml:space="preserve">Contract snapshot for the 15 tools.</w:t>
      </w:r>
      <w:r>
        <w:t xml:space="preserve"> Generate the snapshot from the live service's tool listing, commit it, and fail CI on any diff. This enforces INV-2 mechanically rather than by review.</w:t>
      </w:r>
    </w:p>
    <w:p>
      <w:pPr>
        <w:pStyle w:val="ListParagraph"/>
        <w:numPr>
          <w:ilvl w:val="0"/>
          <w:numId w:val="9"/>
        </w:numPr>
      </w:pPr>
      <w:r>
        <w:rPr>
          <w:b/>
        </w:rPr>
        <w:t xml:space="preserve">Agent-client discovery tests.</w:t>
      </w:r>
      <w:r>
        <w:t xml:space="preserve"> MCP-20 needs named clients and versions (Codex CLI, Claude Code, VS Code Copilot) and a scripted check that each sees exactly the expected tool list.</w:t>
      </w:r>
    </w:p>
    <w:p>
      <w:pPr>
        <w:pStyle w:val="ListParagraph"/>
        <w:numPr>
          <w:ilvl w:val="0"/>
          <w:numId w:val="9"/>
        </w:numPr>
      </w:pPr>
      <w:r>
        <w:rPr>
          <w:b/>
        </w:rPr>
        <w:t xml:space="preserve">Commit the fixture repo.</w:t>
      </w:r>
      <w:r>
        <w:t xml:space="preserve"> Make the §14.1 fixtures a versioned folder in the repository, with a generator script for the stale and interrupted-index states.</w:t>
      </w:r>
    </w:p>
    <w:p>
      <w:pPr>
        <w:pStyle w:val="Heading2"/>
      </w:pPr>
      <w:r>
        <w:t xml:space="preserve">Roadmap and scope recommendations</w:t>
      </w:r>
    </w:p>
    <w:p>
      <w:pPr/>
      <w:r>
        <w:t xml:space="preserve">Resequence so agent-facing value ships right after the review beta, and keep each milestone small enough to review.</w:t>
      </w:r>
    </w:p>
    <w:p>
      <w:pPr/>
      <w:r>
        <w:t xml:space="preserve">The current order puts Strategies and Planner at R4, behind trace, architecture and packs (R3), which do not feed them. Yet prepared evidence packets for coding agents are the clearest link to AIRK's token-savings story. R4 is also the largest milestone by far.</w:t>
      </w:r>
    </w:p>
    <w:p>
      <w:pPr/>
      <w:r>
        <w:t xml:space="preserve">Proposed sequence:</w:t>
      </w:r>
    </w:p>
    <w:p>
      <w:pPr>
        <w:pStyle w:val="ListParagraph"/>
        <w:numPr>
          <w:ilvl w:val="0"/>
          <w:numId w:val="10"/>
        </w:numPr>
      </w:pPr>
      <w:r>
        <w:rPr>
          <w:b/>
        </w:rPr>
        <w:t xml:space="preserve">R0 Contract freeze.</w:t>
      </w:r>
      <w:r>
        <w:t xml:space="preserve"> As written, plus the 1.4 service appendix (C1) and invariant list.</w:t>
      </w:r>
    </w:p>
    <w:p>
      <w:pPr>
        <w:pStyle w:val="ListParagraph"/>
        <w:numPr>
          <w:ilvl w:val="0"/>
          <w:numId w:val="10"/>
        </w:numPr>
      </w:pPr>
      <w:r>
        <w:rPr>
          <w:b/>
        </w:rPr>
        <w:t xml:space="preserve">R0.5 Walking skeleton.</w:t>
      </w:r>
      <w:r>
        <w:t xml:space="preserve"> One route (Search) end to end: webview → host → </w:t>
      </w:r>
      <w:r>
        <w:rPr>
          <w:rStyle w:val="CodeChar"/>
        </w:rPr>
        <w:t xml:space="preserve">AirkServiceClient</w:t>
      </w:r>
      <w:r>
        <w:t xml:space="preserve"> → real service → open file. Proves the stack before breadth.</w:t>
      </w:r>
    </w:p>
    <w:p>
      <w:pPr>
        <w:pStyle w:val="ListParagraph"/>
        <w:numPr>
          <w:ilvl w:val="0"/>
          <w:numId w:val="10"/>
        </w:numPr>
      </w:pPr>
      <w:r>
        <w:rPr>
          <w:b/>
        </w:rPr>
        <w:t xml:space="preserve">R1 Retrieval workbench.</w:t>
      </w:r>
      <w:r>
        <w:t xml:space="preserve"> Search, Code, Evidence.</w:t>
      </w:r>
    </w:p>
    <w:p>
      <w:pPr>
        <w:pStyle w:val="ListParagraph"/>
        <w:numPr>
          <w:ilvl w:val="0"/>
          <w:numId w:val="10"/>
        </w:numPr>
      </w:pPr>
      <w:r>
        <w:rPr>
          <w:b/>
        </w:rPr>
        <w:t xml:space="preserve">R2 Review beta.</w:t>
      </w:r>
      <w:r>
        <w:t xml:space="preserve"> Start with built-in TypeScript rules only; defer the declarative rule grammar to R3 to cut R2 risk.</w:t>
      </w:r>
    </w:p>
    <w:p>
      <w:pPr>
        <w:pStyle w:val="ListParagraph"/>
        <w:numPr>
          <w:ilvl w:val="0"/>
          <w:numId w:val="10"/>
        </w:numPr>
      </w:pPr>
      <w:r>
        <w:rPr>
          <w:b/>
        </w:rPr>
        <w:t xml:space="preserve">R3 Strategies and Planner (old R4a).</w:t>
      </w:r>
      <w:r>
        <w:t xml:space="preserve"> Library, Studio with three runnable templates, Planner with real Save. No standalone Queue.</w:t>
      </w:r>
    </w:p>
    <w:p>
      <w:pPr>
        <w:pStyle w:val="ListParagraph"/>
        <w:numPr>
          <w:ilvl w:val="0"/>
          <w:numId w:val="10"/>
        </w:numPr>
      </w:pPr>
      <w:r>
        <w:rPr>
          <w:b/>
        </w:rPr>
        <w:t xml:space="preserve">R4 Assistance MCP and Inbox (old R4b).</w:t>
      </w:r>
      <w:r>
        <w:t xml:space="preserve"> Help catalog, stable launcher, IPC, proposals.</w:t>
      </w:r>
    </w:p>
    <w:p>
      <w:pPr>
        <w:pStyle w:val="ListParagraph"/>
        <w:numPr>
          <w:ilvl w:val="0"/>
          <w:numId w:val="10"/>
        </w:numPr>
      </w:pPr>
      <w:r>
        <w:rPr>
          <w:b/>
        </w:rPr>
        <w:t xml:space="preserve">R5 Trace, architecture, packs, reports (old R3).</w:t>
      </w:r>
      <w:r>
        <w:t xml:space="preserve"> Plus the declarative rule grammar.</w:t>
      </w:r>
    </w:p>
    <w:p>
      <w:pPr>
        <w:pStyle w:val="ListParagraph"/>
        <w:numPr>
          <w:ilvl w:val="0"/>
          <w:numId w:val="10"/>
        </w:numPr>
      </w:pPr>
      <w:r>
        <w:rPr>
          <w:b/>
        </w:rPr>
        <w:t xml:space="preserve">R6 Management convergence and advanced assistance (old R5).</w:t>
      </w:r>
    </w:p>
    <w:p>
      <w:pPr>
        <w:pStyle w:val="ListParagraph"/>
        <w:numPr>
          <w:ilvl w:val="0"/>
          <w:numId w:val="10"/>
        </w:numPr>
      </w:pPr>
      <w:r>
        <w:rPr>
          <w:b/>
        </w:rPr>
        <w:t xml:space="preserve">R7 Optional adapters, CLI, Queue (old R6).</w:t>
      </w:r>
    </w:p>
    <w:p>
      <w:pPr/>
      <w:r>
        <w:t xml:space="preserve">Add rough sizing to each phase (engineer-weeks or PR count) so progress can be tracked and the plan can be re-scoped if a phase overruns.</w:t>
      </w:r>
    </w:p>
    <w:p>
      <w:pPr>
        <w:pStyle w:val="Heading2"/>
      </w:pPr>
      <w:r>
        <w:t xml:space="preserve">Expansion opportunities</w:t>
      </w:r>
    </w:p>
    <w:p>
      <w:pPr/>
      <w:r>
        <w:t xml:space="preserve">These extend the plan beyond R6 without weakening its boundaries; each fits the existing evidence and manifest model.</w:t>
      </w:r>
    </w:p>
    <w:tbl>
      <w:tblPr>
        <w:tblStyle w:val="TableGrid"/>
        <w:tblW w:w="0" w:type="auto"/>
        <w:tblLayout w:type="fixed"/>
        <w:tblLook w:val="04A0" w:firstRow="1" w:lastRow="0" w:firstColumn="0" w:lastColumn="0" w:noHBand="0" w:noVBand="1"/>
      </w:tblPr>
      <w:tblGrid>
        <w:gridCol w:w="1555"/>
        <w:gridCol w:w="3615"/>
        <w:gridCol w:w="2884"/>
        <w:gridCol w:w="1305"/>
      </w:tblGrid>
      <w:tr>
        <w:trPr>
          <w:tblHeader/>
        </w:trPr>
        <w:tc>
          <w:tcPr>
            <w:tcW w:w="1555" w:type="dxa"/>
            <w:shd w:val="clear" w:color="auto" w:fill="F2F2F2"/>
          </w:tcPr>
          <w:p>
            <w:pPr/>
            <w:r>
              <w:t xml:space="preserve">Opportunity</w:t>
            </w:r>
          </w:p>
        </w:tc>
        <w:tc>
          <w:tcPr>
            <w:tcW w:w="3615" w:type="dxa"/>
            <w:shd w:val="clear" w:color="auto" w:fill="F2F2F2"/>
          </w:tcPr>
          <w:p>
            <w:pPr/>
            <w:r>
              <w:t xml:space="preserve">What it adds</w:t>
            </w:r>
          </w:p>
        </w:tc>
        <w:tc>
          <w:tcPr>
            <w:tcW w:w="2884" w:type="dxa"/>
            <w:shd w:val="clear" w:color="auto" w:fill="F2F2F2"/>
          </w:tcPr>
          <w:p>
            <w:pPr/>
            <w:r>
              <w:t xml:space="preserve">Fit with current design</w:t>
            </w:r>
          </w:p>
        </w:tc>
        <w:tc>
          <w:tcPr>
            <w:tcW w:w="1305" w:type="dxa"/>
            <w:shd w:val="clear" w:color="auto" w:fill="F2F2F2"/>
          </w:tcPr>
          <w:p>
            <w:pPr/>
            <w:r>
              <w:t xml:space="preserve">Suggested timing</w:t>
            </w:r>
          </w:p>
        </w:tc>
      </w:tr>
      <w:tr>
        <w:tc>
          <w:tcPr>
            <w:tcW w:w="1555" w:type="dxa"/>
          </w:tcPr>
          <w:p>
            <w:pPr/>
            <w:r>
              <w:t xml:space="preserve">Team / AIRK Server binding</w:t>
            </w:r>
          </w:p>
        </w:tc>
        <w:tc>
          <w:tcPr>
            <w:tcW w:w="3615" w:type="dxa"/>
          </w:tcPr>
          <w:p>
            <w:pPr/>
            <w:r>
              <w:t xml:space="preserve">Shared baselines, strategy packs and plans against a central index of committed code</w:t>
            </w:r>
          </w:p>
        </w:tc>
        <w:tc>
          <w:tcPr>
            <w:tcW w:w="2884" w:type="dxa"/>
          </w:tcPr>
          <w:p>
            <w:pPr/>
            <w:r>
              <w:t xml:space="preserve">Location-agnostic </w:t>
            </w:r>
            <w:r>
              <w:rPr>
                <w:rStyle w:val="CodeChar"/>
              </w:rPr>
              <w:t xml:space="preserve">CollectionBinding</w:t>
            </w:r>
            <w:r>
              <w:t xml:space="preserve"> (Architecture item 2) is the only seam needed now</w:t>
            </w:r>
          </w:p>
        </w:tc>
        <w:tc>
          <w:tcPr>
            <w:tcW w:w="1305" w:type="dxa"/>
          </w:tcPr>
          <w:p>
            <w:pPr/>
            <w:r>
              <w:t xml:space="preserve">Design seam in R0; feature after R7</w:t>
            </w:r>
          </w:p>
        </w:tc>
      </w:tr>
      <w:tr>
        <w:tc>
          <w:tcPr>
            <w:tcW w:w="1555" w:type="dxa"/>
          </w:tcPr>
          <w:p>
            <w:pPr/>
            <w:r>
              <w:t xml:space="preserve">Provenance export to Muninn Mesh / Munarium</w:t>
            </w:r>
          </w:p>
        </w:tc>
        <w:tc>
          <w:tcPr>
            <w:tcW w:w="3615" w:type="dxa"/>
          </w:tcPr>
          <w:p>
            <w:pPr/>
            <w:r>
              <w:t xml:space="preserve">Run manifests and evidence ledgers recorded as governed provenance records</w:t>
            </w:r>
          </w:p>
        </w:tc>
        <w:tc>
          <w:tcPr>
            <w:tcW w:w="2884" w:type="dxa"/>
          </w:tcPr>
          <w:p>
            <w:pPr/>
            <w:r>
              <w:t xml:space="preserve">Manifests already carry publication, hashes and producers; add an export adapter</w:t>
            </w:r>
          </w:p>
        </w:tc>
        <w:tc>
          <w:tcPr>
            <w:tcW w:w="1305" w:type="dxa"/>
          </w:tcPr>
          <w:p>
            <w:pPr/>
            <w:r>
              <w:t xml:space="preserve">After R3</w:t>
            </w:r>
          </w:p>
        </w:tc>
      </w:tr>
      <w:tr>
        <w:tc>
          <w:tcPr>
            <w:tcW w:w="1555" w:type="dxa"/>
          </w:tcPr>
          <w:p>
            <w:pPr/>
            <w:r>
              <w:t xml:space="preserve">Measured savings per plan</w:t>
            </w:r>
          </w:p>
        </w:tc>
        <w:tc>
          <w:tcPr>
            <w:tcW w:w="3615" w:type="dxa"/>
          </w:tcPr>
          <w:p>
            <w:pPr/>
            <w:r>
              <w:t xml:space="preserve">Bytes of evidence supplied vs. an estimated agent exploration baseline, per task</w:t>
            </w:r>
          </w:p>
        </w:tc>
        <w:tc>
          <w:tcPr>
            <w:tcW w:w="2884" w:type="dxa"/>
          </w:tcPr>
          <w:p>
            <w:pPr/>
            <w:r>
              <w:t xml:space="preserve">Usage panel already measures bytes; keep it labelled as an estimate, not billing</w:t>
            </w:r>
          </w:p>
        </w:tc>
        <w:tc>
          <w:tcPr>
            <w:tcW w:w="1305" w:type="dxa"/>
          </w:tcPr>
          <w:p>
            <w:pPr/>
            <w:r>
              <w:t xml:space="preserve">R6</w:t>
            </w:r>
          </w:p>
        </w:tc>
      </w:tr>
      <w:tr>
        <w:tc>
          <w:tcPr>
            <w:tcW w:w="1555" w:type="dxa"/>
          </w:tcPr>
          <w:p>
            <w:pPr/>
            <w:r>
              <w:t xml:space="preserve">Strategy templates as agent skills</w:t>
            </w:r>
          </w:p>
        </w:tc>
        <w:tc>
          <w:tcPr>
            <w:tcW w:w="3615" w:type="dxa"/>
          </w:tcPr>
          <w:p>
            <w:pPr/>
            <w:r>
              <w:t xml:space="preserve">Export a template as a SKILL.md or slash-command for Claude Code and Codex</w:t>
            </w:r>
          </w:p>
        </w:tc>
        <w:tc>
          <w:tcPr>
            <w:tcW w:w="2884" w:type="dxa"/>
          </w:tcPr>
          <w:p>
            <w:pPr/>
            <w:r>
              <w:t xml:space="preserve">Portable prompt profile already exists</w:t>
            </w:r>
          </w:p>
        </w:tc>
        <w:tc>
          <w:tcPr>
            <w:tcW w:w="1305" w:type="dxa"/>
          </w:tcPr>
          <w:p>
            <w:pPr/>
            <w:r>
              <w:t xml:space="preserve">R4</w:t>
            </w:r>
          </w:p>
        </w:tc>
      </w:tr>
      <w:tr>
        <w:tc>
          <w:tcPr>
            <w:tcW w:w="1555" w:type="dxa"/>
          </w:tcPr>
          <w:p>
            <w:pPr/>
            <w:r>
              <w:t xml:space="preserve">Headless review in CI</w:t>
            </w:r>
          </w:p>
        </w:tc>
        <w:tc>
          <w:tcPr>
            <w:tcW w:w="3615" w:type="dxa"/>
          </w:tcPr>
          <w:p>
            <w:pPr/>
            <w:r>
              <w:t xml:space="preserve">Run the rule engine against a PR and post SARIF to code scanning</w:t>
            </w:r>
          </w:p>
        </w:tc>
        <w:tc>
          <w:tcPr>
            <w:tcW w:w="2884" w:type="dxa"/>
          </w:tcPr>
          <w:p>
            <w:pPr/>
            <w:r>
              <w:t xml:space="preserve">Rules are declarative; needs the future CLI</w:t>
            </w:r>
          </w:p>
        </w:tc>
        <w:tc>
          <w:tcPr>
            <w:tcW w:w="1305" w:type="dxa"/>
          </w:tcPr>
          <w:p>
            <w:pPr/>
            <w:r>
              <w:t xml:space="preserve">R7</w:t>
            </w:r>
          </w:p>
        </w:tc>
      </w:tr>
      <w:tr>
        <w:tc>
          <w:tcPr>
            <w:tcW w:w="1555" w:type="dxa"/>
          </w:tcPr>
          <w:p>
            <w:pPr/>
            <w:r>
              <w:t xml:space="preserve">Strategy evaluation harness</w:t>
            </w:r>
          </w:p>
        </w:tc>
        <w:tc>
          <w:tcPr>
            <w:tcW w:w="3615" w:type="dxa"/>
          </w:tcPr>
          <w:p>
            <w:pPr/>
            <w:r>
              <w:t xml:space="preserve">Golden tasks that measure whether packets improve agent outcomes (tests passed, files touched, tokens)</w:t>
            </w:r>
          </w:p>
        </w:tc>
        <w:tc>
          <w:tcPr>
            <w:tcW w:w="2884" w:type="dxa"/>
          </w:tcPr>
          <w:p>
            <w:pPr/>
            <w:r>
              <w:t xml:space="preserve">Uses saved plans and completion reports</w:t>
            </w:r>
          </w:p>
        </w:tc>
        <w:tc>
          <w:tcPr>
            <w:tcW w:w="1305" w:type="dxa"/>
          </w:tcPr>
          <w:p>
            <w:pPr/>
            <w:r>
              <w:t xml:space="preserve">After R3</w:t>
            </w:r>
          </w:p>
        </w:tc>
      </w:tr>
      <w:tr>
        <w:tc>
          <w:tcPr>
            <w:tcW w:w="1555" w:type="dxa"/>
          </w:tcPr>
          <w:p>
            <w:pPr/>
            <w:r>
              <w:t xml:space="preserve">Plan round-trip with agents</w:t>
            </w:r>
          </w:p>
        </w:tc>
        <w:tc>
          <w:tcPr>
            <w:tcW w:w="3615" w:type="dxa"/>
          </w:tcPr>
          <w:p>
            <w:pPr/>
            <w:r>
              <w:t xml:space="preserve">Agent updates task status in front matter; Explorer reflects it after review</w:t>
            </w:r>
          </w:p>
        </w:tc>
        <w:tc>
          <w:tcPr>
            <w:tcW w:w="2884" w:type="dxa"/>
          </w:tcPr>
          <w:p>
            <w:pPr/>
            <w:r>
              <w:t xml:space="preserve">Requires front matter (Strategy section) and completion-report parsing</w:t>
            </w:r>
          </w:p>
        </w:tc>
        <w:tc>
          <w:tcPr>
            <w:tcW w:w="1305" w:type="dxa"/>
          </w:tcPr>
          <w:p>
            <w:pPr/>
            <w:r>
              <w:t xml:space="preserve">R4</w:t>
            </w:r>
          </w:p>
        </w:tc>
      </w:tr>
      <w:tr>
        <w:tc>
          <w:tcPr>
            <w:tcW w:w="1555" w:type="dxa"/>
          </w:tcPr>
          <w:p>
            <w:pPr/>
            <w:r>
              <w:t xml:space="preserve">Watch-triggered plan refresh</w:t>
            </w:r>
          </w:p>
        </w:tc>
        <w:tc>
          <w:tcPr>
            <w:tcW w:w="3615" w:type="dxa"/>
          </w:tcPr>
          <w:p>
            <w:pPr/>
            <w:r>
              <w:t xml:space="preserve">A new publication flags stale plan tasks and offers targeted re-run</w:t>
            </w:r>
          </w:p>
        </w:tc>
        <w:tc>
          <w:tcPr>
            <w:tcW w:w="2884" w:type="dxa"/>
          </w:tcPr>
          <w:p>
            <w:pPr/>
            <w:r>
              <w:t xml:space="preserve">Watches and drift detection already planned</w:t>
            </w:r>
          </w:p>
        </w:tc>
        <w:tc>
          <w:tcPr>
            <w:tcW w:w="1305" w:type="dxa"/>
          </w:tcPr>
          <w:p>
            <w:pPr/>
            <w:r>
              <w:t xml:space="preserve">R5</w:t>
            </w:r>
          </w:p>
        </w:tc>
      </w:tr>
    </w:tbl>
    <w:p>
      <w:pPr>
        <w:pStyle w:val="Heading2"/>
      </w:pPr>
      <w:r>
        <w:t xml:space="preserve">Consolidated change list by plan section</w:t>
      </w:r>
    </w:p>
    <w:p>
      <w:pPr/>
      <w:r>
        <w:t xml:space="preserve">P0 items block Codex; P1 items should land before the phase they affect; P2 items are improvements.</w:t>
      </w:r>
    </w:p>
    <w:tbl>
      <w:tblPr>
        <w:tblStyle w:val="TableGrid"/>
        <w:tblW w:w="0" w:type="auto"/>
        <w:tblLayout w:type="fixed"/>
        <w:tblLook w:val="04A0" w:firstRow="1" w:lastRow="0" w:firstColumn="0" w:lastColumn="0" w:noHBand="0" w:noVBand="1"/>
      </w:tblPr>
      <w:tblGrid>
        <w:gridCol w:w="2339"/>
        <w:gridCol w:w="5807"/>
        <w:gridCol w:w="1212"/>
      </w:tblGrid>
      <w:tr>
        <w:trPr>
          <w:tblHeader/>
        </w:trPr>
        <w:tc>
          <w:tcPr>
            <w:tcW w:w="2339" w:type="dxa"/>
            <w:shd w:val="clear" w:color="auto" w:fill="F2F2F2"/>
          </w:tcPr>
          <w:p>
            <w:pPr/>
            <w:r>
              <w:t xml:space="preserve">Plan section</w:t>
            </w:r>
          </w:p>
        </w:tc>
        <w:tc>
          <w:tcPr>
            <w:tcW w:w="5807" w:type="dxa"/>
            <w:shd w:val="clear" w:color="auto" w:fill="F2F2F2"/>
          </w:tcPr>
          <w:p>
            <w:pPr/>
            <w:r>
              <w:t xml:space="preserve">Change</w:t>
            </w:r>
          </w:p>
        </w:tc>
        <w:tc>
          <w:tcPr>
            <w:tcW w:w="1212" w:type="dxa"/>
            <w:shd w:val="clear" w:color="auto" w:fill="F2F2F2"/>
          </w:tcPr>
          <w:p>
            <w:pPr/>
            <w:r>
              <w:t xml:space="preserve">Priority</w:t>
            </w:r>
          </w:p>
        </w:tc>
      </w:tr>
      <w:tr>
        <w:tc>
          <w:tcPr>
            <w:tcW w:w="2339" w:type="dxa"/>
          </w:tcPr>
          <w:p>
            <w:pPr/>
            <w:r>
              <w:t xml:space="preserve">§0.1</w:t>
            </w:r>
          </w:p>
        </w:tc>
        <w:tc>
          <w:tcPr>
            <w:tcW w:w="5807" w:type="dxa"/>
          </w:tcPr>
          <w:p>
            <w:pPr/>
            <w:r>
              <w:t xml:space="preserve">Add tie-break: stop and report when checkout contradicts target (C2); add RFC 2119 note</w:t>
            </w:r>
          </w:p>
        </w:tc>
        <w:tc>
          <w:tcPr>
            <w:tcW w:w="1212" w:type="dxa"/>
          </w:tcPr>
          <w:p>
            <w:pPr/>
            <w:r>
              <w:t xml:space="preserve">P0</w:t>
            </w:r>
          </w:p>
        </w:tc>
      </w:tr>
      <w:tr>
        <w:tc>
          <w:tcPr>
            <w:tcW w:w="2339" w:type="dxa"/>
          </w:tcPr>
          <w:p>
            <w:pPr/>
            <w:r>
              <w:t xml:space="preserve">§1.1</w:t>
            </w:r>
          </w:p>
        </w:tc>
        <w:tc>
          <w:tcPr>
            <w:tcW w:w="5807" w:type="dxa"/>
          </w:tcPr>
          <w:p>
            <w:pPr/>
            <w:r>
              <w:t xml:space="preserve">Replace with numbered invariants INV-1 to INV-10; reference them elsewhere</w:t>
            </w:r>
          </w:p>
        </w:tc>
        <w:tc>
          <w:tcPr>
            <w:tcW w:w="1212" w:type="dxa"/>
          </w:tcPr>
          <w:p>
            <w:pPr/>
            <w:r>
              <w:t xml:space="preserve">P0</w:t>
            </w:r>
          </w:p>
        </w:tc>
      </w:tr>
      <w:tr>
        <w:tc>
          <w:tcPr>
            <w:tcW w:w="2339" w:type="dxa"/>
          </w:tcPr>
          <w:p>
            <w:pPr/>
            <w:r>
              <w:t xml:space="preserve">New Appendix D</w:t>
            </w:r>
          </w:p>
        </w:tc>
        <w:tc>
          <w:tcPr>
            <w:tcW w:w="5807" w:type="dxa"/>
          </w:tcPr>
          <w:p>
            <w:pPr/>
            <w:r>
              <w:t xml:space="preserve">Owner-written AIRK 1.4 service contract, including ordering guarantees (C1, C7)</w:t>
            </w:r>
          </w:p>
        </w:tc>
        <w:tc>
          <w:tcPr>
            <w:tcW w:w="1212" w:type="dxa"/>
          </w:tcPr>
          <w:p>
            <w:pPr/>
            <w:r>
              <w:t xml:space="preserve">P0</w:t>
            </w:r>
          </w:p>
        </w:tc>
      </w:tr>
      <w:tr>
        <w:tc>
          <w:tcPr>
            <w:tcW w:w="2339" w:type="dxa"/>
          </w:tcPr>
          <w:p>
            <w:pPr/>
            <w:r>
              <w:t xml:space="preserve">§7.5</w:t>
            </w:r>
          </w:p>
        </w:tc>
        <w:tc>
          <w:tcPr>
            <w:tcW w:w="5807" w:type="dxa"/>
          </w:tcPr>
          <w:p>
            <w:pPr/>
            <w:r>
              <w:t xml:space="preserve">Replace </w:t>
            </w:r>
            <w:r>
              <w:rPr>
                <w:rStyle w:val="CodeChar"/>
              </w:rPr>
              <w:t xml:space="preserve">retrievalHelperVersion</w:t>
            </w:r>
            <w:r>
              <w:t xml:space="preserve"> with service and protocol version fields (C6)</w:t>
            </w:r>
          </w:p>
        </w:tc>
        <w:tc>
          <w:tcPr>
            <w:tcW w:w="1212" w:type="dxa"/>
          </w:tcPr>
          <w:p>
            <w:pPr/>
            <w:r>
              <w:t xml:space="preserve">P0</w:t>
            </w:r>
          </w:p>
        </w:tc>
      </w:tr>
      <w:tr>
        <w:tc>
          <w:tcPr>
            <w:tcW w:w="2339" w:type="dxa"/>
          </w:tcPr>
          <w:p>
            <w:pPr/>
            <w:r>
              <w:t xml:space="preserve">§9.6 / §13.1</w:t>
            </w:r>
          </w:p>
        </w:tc>
        <w:tc>
          <w:tcPr>
            <w:tcW w:w="5807" w:type="dxa"/>
          </w:tcPr>
          <w:p>
            <w:pPr/>
            <w:r>
              <w:t xml:space="preserve">Merge into one error registry (C5)</w:t>
            </w:r>
          </w:p>
        </w:tc>
        <w:tc>
          <w:tcPr>
            <w:tcW w:w="1212" w:type="dxa"/>
          </w:tcPr>
          <w:p>
            <w:pPr/>
            <w:r>
              <w:t xml:space="preserve">P0</w:t>
            </w:r>
          </w:p>
        </w:tc>
      </w:tr>
      <w:tr>
        <w:tc>
          <w:tcPr>
            <w:tcW w:w="2339" w:type="dxa"/>
          </w:tcPr>
          <w:p>
            <w:pPr/>
            <w:r>
              <w:t xml:space="preserve">§9.9 / §12.2</w:t>
            </w:r>
          </w:p>
        </w:tc>
        <w:tc>
          <w:tcPr>
            <w:tcW w:w="5807" w:type="dxa"/>
          </w:tcPr>
          <w:p>
            <w:pPr/>
            <w:r>
              <w:t xml:space="preserve">Stable launcher shim, Node runtime, VS Code MCP provider path (C3)</w:t>
            </w:r>
          </w:p>
        </w:tc>
        <w:tc>
          <w:tcPr>
            <w:tcW w:w="1212" w:type="dxa"/>
          </w:tcPr>
          <w:p>
            <w:pPr/>
            <w:r>
              <w:t xml:space="preserve">P0</w:t>
            </w:r>
          </w:p>
        </w:tc>
      </w:tr>
      <w:tr>
        <w:tc>
          <w:tcPr>
            <w:tcW w:w="2339" w:type="dxa"/>
          </w:tcPr>
          <w:p>
            <w:pPr/>
            <w:r>
              <w:t xml:space="preserve">§3.4 / §13</w:t>
            </w:r>
          </w:p>
        </w:tc>
        <w:tc>
          <w:tcPr>
            <w:tcW w:w="5807" w:type="dxa"/>
          </w:tcPr>
          <w:p>
            <w:pPr/>
            <w:r>
              <w:t xml:space="preserve">IPC rendezvous descriptor and credential handoff</w:t>
            </w:r>
          </w:p>
        </w:tc>
        <w:tc>
          <w:tcPr>
            <w:tcW w:w="1212" w:type="dxa"/>
          </w:tcPr>
          <w:p>
            <w:pPr/>
            <w:r>
              <w:t xml:space="preserve">P0</w:t>
            </w:r>
          </w:p>
        </w:tc>
      </w:tr>
      <w:tr>
        <w:tc>
          <w:tcPr>
            <w:tcW w:w="2339" w:type="dxa"/>
          </w:tcPr>
          <w:p>
            <w:pPr/>
            <w:r>
              <w:t xml:space="preserve">§8.5</w:t>
            </w:r>
          </w:p>
        </w:tc>
        <w:tc>
          <w:tcPr>
            <w:tcW w:w="5807" w:type="dxa"/>
          </w:tcPr>
          <w:p>
            <w:pPr/>
            <w:r>
              <w:t xml:space="preserve">Native Save Dialog as consent gate; drop click-nonce (C4)</w:t>
            </w:r>
          </w:p>
        </w:tc>
        <w:tc>
          <w:tcPr>
            <w:tcW w:w="1212" w:type="dxa"/>
          </w:tcPr>
          <w:p>
            <w:pPr/>
            <w:r>
              <w:t xml:space="preserve">P1</w:t>
            </w:r>
          </w:p>
        </w:tc>
      </w:tr>
      <w:tr>
        <w:tc>
          <w:tcPr>
            <w:tcW w:w="2339" w:type="dxa"/>
          </w:tcPr>
          <w:p>
            <w:pPr/>
            <w:r>
              <w:t xml:space="preserve">§9.4</w:t>
            </w:r>
          </w:p>
        </w:tc>
        <w:tc>
          <w:tcPr>
            <w:tcW w:w="5807" w:type="dxa"/>
          </w:tcPr>
          <w:p>
            <w:pPr/>
            <w:r>
              <w:t xml:space="preserve">Remove Planner </w:t>
            </w:r>
            <w:r>
              <w:rPr>
                <w:rStyle w:val="CodeChar"/>
              </w:rPr>
              <w:t xml:space="preserve">save</w:t>
            </w:r>
            <w:r>
              <w:t xml:space="preserve"> field (C8)</w:t>
            </w:r>
          </w:p>
        </w:tc>
        <w:tc>
          <w:tcPr>
            <w:tcW w:w="1212" w:type="dxa"/>
          </w:tcPr>
          <w:p>
            <w:pPr/>
            <w:r>
              <w:t xml:space="preserve">P1</w:t>
            </w:r>
          </w:p>
        </w:tc>
      </w:tr>
      <w:tr>
        <w:tc>
          <w:tcPr>
            <w:tcW w:w="2339" w:type="dxa"/>
          </w:tcPr>
          <w:p>
            <w:pPr/>
            <w:r>
              <w:t xml:space="preserve">§3.6</w:t>
            </w:r>
          </w:p>
        </w:tc>
        <w:tc>
          <w:tcPr>
            <w:tcW w:w="5807" w:type="dxa"/>
          </w:tcPr>
          <w:p>
            <w:pPr/>
            <w:r>
              <w:t xml:space="preserve">Multi-window ownership and concurrent-client rules</w:t>
            </w:r>
          </w:p>
        </w:tc>
        <w:tc>
          <w:tcPr>
            <w:tcW w:w="1212" w:type="dxa"/>
          </w:tcPr>
          <w:p>
            <w:pPr/>
            <w:r>
              <w:t xml:space="preserve">P1</w:t>
            </w:r>
          </w:p>
        </w:tc>
      </w:tr>
      <w:tr>
        <w:tc>
          <w:tcPr>
            <w:tcW w:w="2339" w:type="dxa"/>
          </w:tcPr>
          <w:p>
            <w:pPr/>
            <w:r>
              <w:t xml:space="preserve">§8</w:t>
            </w:r>
          </w:p>
        </w:tc>
        <w:tc>
          <w:tcPr>
            <w:tcW w:w="5807" w:type="dxa"/>
          </w:tcPr>
          <w:p>
            <w:pPr/>
            <w:r>
              <w:t xml:space="preserve">Merge Queue into Planner; add YAML front matter; completion-report loop</w:t>
            </w:r>
          </w:p>
        </w:tc>
        <w:tc>
          <w:tcPr>
            <w:tcW w:w="1212" w:type="dxa"/>
          </w:tcPr>
          <w:p>
            <w:pPr/>
            <w:r>
              <w:t xml:space="preserve">P1</w:t>
            </w:r>
          </w:p>
        </w:tc>
      </w:tr>
      <w:tr>
        <w:tc>
          <w:tcPr>
            <w:tcW w:w="2339" w:type="dxa"/>
          </w:tcPr>
          <w:p>
            <w:pPr/>
            <w:r>
              <w:t xml:space="preserve">§12</w:t>
            </w:r>
          </w:p>
        </w:tc>
        <w:tc>
          <w:tcPr>
            <w:tcW w:w="5807" w:type="dxa"/>
          </w:tcPr>
          <w:p>
            <w:pPr/>
            <w:r>
              <w:t xml:space="preserve">Settings keys, feature-flag names, StorageMigrator, activation and bundle budgets</w:t>
            </w:r>
          </w:p>
        </w:tc>
        <w:tc>
          <w:tcPr>
            <w:tcW w:w="1212" w:type="dxa"/>
          </w:tcPr>
          <w:p>
            <w:pPr/>
            <w:r>
              <w:t xml:space="preserve">P1</w:t>
            </w:r>
          </w:p>
        </w:tc>
      </w:tr>
      <w:tr>
        <w:tc>
          <w:tcPr>
            <w:tcW w:w="2339" w:type="dxa"/>
          </w:tcPr>
          <w:p>
            <w:pPr/>
            <w:r>
              <w:t xml:space="preserve">§13</w:t>
            </w:r>
          </w:p>
        </w:tc>
        <w:tc>
          <w:tcPr>
            <w:tcW w:w="5807" w:type="dxa"/>
          </w:tcPr>
          <w:p>
            <w:pPr/>
            <w:r>
              <w:t xml:space="preserve">Sanitiser spec, </w:t>
            </w:r>
            <w:r>
              <w:rPr>
                <w:rStyle w:val="CodeChar"/>
              </w:rPr>
              <w:t xml:space="preserve">command:</w:t>
            </w:r>
            <w:r>
              <w:t xml:space="preserve"> URI rule, SBOM, telemetry default, pack signing decision</w:t>
            </w:r>
          </w:p>
        </w:tc>
        <w:tc>
          <w:tcPr>
            <w:tcW w:w="1212" w:type="dxa"/>
          </w:tcPr>
          <w:p>
            <w:pPr/>
            <w:r>
              <w:t xml:space="preserve">P1</w:t>
            </w:r>
          </w:p>
        </w:tc>
      </w:tr>
      <w:tr>
        <w:tc>
          <w:tcPr>
            <w:tcW w:w="2339" w:type="dxa"/>
          </w:tcPr>
          <w:p>
            <w:pPr/>
            <w:r>
              <w:t xml:space="preserve">§14</w:t>
            </w:r>
          </w:p>
        </w:tc>
        <w:tc>
          <w:tcPr>
            <w:tcW w:w="5807" w:type="dxa"/>
          </w:tcPr>
          <w:p>
            <w:pPr/>
            <w:r>
              <w:t xml:space="preserve">Tag tests with gate, requirement and level; real-service CI lane; contract snapshot</w:t>
            </w:r>
          </w:p>
        </w:tc>
        <w:tc>
          <w:tcPr>
            <w:tcW w:w="1212" w:type="dxa"/>
          </w:tcPr>
          <w:p>
            <w:pPr/>
            <w:r>
              <w:t xml:space="preserve">P1</w:t>
            </w:r>
          </w:p>
        </w:tc>
      </w:tr>
      <w:tr>
        <w:tc>
          <w:tcPr>
            <w:tcW w:w="2339" w:type="dxa"/>
          </w:tcPr>
          <w:p>
            <w:pPr/>
            <w:r>
              <w:t xml:space="preserve">§15</w:t>
            </w:r>
          </w:p>
        </w:tc>
        <w:tc>
          <w:tcPr>
            <w:tcW w:w="5807" w:type="dxa"/>
          </w:tcPr>
          <w:p>
            <w:pPr/>
            <w:r>
              <w:t xml:space="preserve">Resequence phases; split old R4; add R0.5 walking skeleton; add sizing</w:t>
            </w:r>
          </w:p>
        </w:tc>
        <w:tc>
          <w:tcPr>
            <w:tcW w:w="1212" w:type="dxa"/>
          </w:tcPr>
          <w:p>
            <w:pPr/>
            <w:r>
              <w:t xml:space="preserve">P1</w:t>
            </w:r>
          </w:p>
        </w:tc>
      </w:tr>
      <w:tr>
        <w:tc>
          <w:tcPr>
            <w:tcW w:w="2339" w:type="dxa"/>
          </w:tcPr>
          <w:p>
            <w:pPr/>
            <w:r>
              <w:t xml:space="preserve">§11.4–11.5</w:t>
            </w:r>
          </w:p>
        </w:tc>
        <w:tc>
          <w:tcPr>
            <w:tcW w:w="5807" w:type="dxa"/>
          </w:tcPr>
          <w:p>
            <w:pPr/>
            <w:r>
              <w:t xml:space="preserve">Move forced-desktop CSS/JS to a preview appendix; remove from R4 DoD</w:t>
            </w:r>
          </w:p>
        </w:tc>
        <w:tc>
          <w:tcPr>
            <w:tcW w:w="1212" w:type="dxa"/>
          </w:tcPr>
          <w:p>
            <w:pPr/>
            <w:r>
              <w:t xml:space="preserve">P2</w:t>
            </w:r>
          </w:p>
        </w:tc>
      </w:tr>
      <w:tr>
        <w:tc>
          <w:tcPr>
            <w:tcW w:w="2339" w:type="dxa"/>
          </w:tcPr>
          <w:p>
            <w:pPr/>
            <w:r>
              <w:t xml:space="preserve">§2.3</w:t>
            </w:r>
          </w:p>
        </w:tc>
        <w:tc>
          <w:tcPr>
            <w:tcW w:w="5807" w:type="dxa"/>
          </w:tcPr>
          <w:p>
            <w:pPr/>
            <w:r>
              <w:t xml:space="preserve">Collapse header into one status pill; define or drop persona presets</w:t>
            </w:r>
          </w:p>
        </w:tc>
        <w:tc>
          <w:tcPr>
            <w:tcW w:w="1212" w:type="dxa"/>
          </w:tcPr>
          <w:p>
            <w:pPr/>
            <w:r>
              <w:t xml:space="preserve">P2</w:t>
            </w:r>
          </w:p>
        </w:tc>
      </w:tr>
      <w:tr>
        <w:tc>
          <w:tcPr>
            <w:tcW w:w="2339" w:type="dxa"/>
          </w:tcPr>
          <w:p>
            <w:pPr/>
            <w:r>
              <w:t xml:space="preserve">§6.2</w:t>
            </w:r>
          </w:p>
        </w:tc>
        <w:tc>
          <w:tcPr>
            <w:tcW w:w="5807" w:type="dxa"/>
          </w:tcPr>
          <w:p>
            <w:pPr/>
            <w:r>
              <w:t xml:space="preserve">Label non-runnable templates as Preview with export-only action</w:t>
            </w:r>
          </w:p>
        </w:tc>
        <w:tc>
          <w:tcPr>
            <w:tcW w:w="1212" w:type="dxa"/>
          </w:tcPr>
          <w:p>
            <w:pPr/>
            <w:r>
              <w:t xml:space="preserve">P2</w:t>
            </w:r>
          </w:p>
        </w:tc>
      </w:tr>
      <w:tr>
        <w:tc>
          <w:tcPr>
            <w:tcW w:w="2339" w:type="dxa"/>
          </w:tcPr>
          <w:p>
            <w:pPr/>
            <w:r>
              <w:t xml:space="preserve">§5.4</w:t>
            </w:r>
          </w:p>
        </w:tc>
        <w:tc>
          <w:tcPr>
            <w:tcW w:w="5807" w:type="dxa"/>
          </w:tcPr>
          <w:p>
            <w:pPr/>
            <w:r>
              <w:t xml:space="preserve">Fingerprint fallback for unparsed file types</w:t>
            </w:r>
          </w:p>
        </w:tc>
        <w:tc>
          <w:tcPr>
            <w:tcW w:w="1212" w:type="dxa"/>
          </w:tcPr>
          <w:p>
            <w:pPr/>
            <w:r>
              <w:t xml:space="preserve">P2</w:t>
            </w:r>
          </w:p>
        </w:tc>
      </w:tr>
      <w:tr>
        <w:tc>
          <w:tcPr>
            <w:tcW w:w="2339" w:type="dxa"/>
          </w:tcPr>
          <w:p>
            <w:pPr/>
            <w:r>
              <w:t xml:space="preserve">§12</w:t>
            </w:r>
          </w:p>
        </w:tc>
        <w:tc>
          <w:tcPr>
            <w:tcW w:w="5807" w:type="dxa"/>
          </w:tcPr>
          <w:p>
            <w:pPr/>
            <w:r>
              <w:t xml:space="preserve">MCP resources for help, MCP prompts for templates; </w:t>
            </w:r>
            <w:r>
              <w:rPr>
                <w:rStyle w:val="CodeChar"/>
              </w:rPr>
              <w:t xml:space="preserve">vscode.l10n</w:t>
            </w:r>
            <w:r>
              <w:t xml:space="preserve"> from R0</w:t>
            </w:r>
          </w:p>
        </w:tc>
        <w:tc>
          <w:tcPr>
            <w:tcW w:w="1212" w:type="dxa"/>
          </w:tcPr>
          <w:p>
            <w:pPr/>
            <w:r>
              <w:t xml:space="preserve">P2</w:t>
            </w:r>
          </w:p>
        </w:tc>
      </w:tr>
      <w:tr>
        <w:tc>
          <w:tcPr>
            <w:tcW w:w="2339" w:type="dxa"/>
          </w:tcPr>
          <w:p>
            <w:pPr/>
            <w:r>
              <w:t xml:space="preserve">Whole document</w:t>
            </w:r>
          </w:p>
        </w:tc>
        <w:tc>
          <w:tcPr>
            <w:tcW w:w="5807" w:type="dxa"/>
          </w:tcPr>
          <w:p>
            <w:pPr/>
            <w:r>
              <w:t xml:space="preserve">Split into a short Codex brief plus a rationale appendix; reduce bold</w:t>
            </w:r>
          </w:p>
        </w:tc>
        <w:tc>
          <w:tcPr>
            <w:tcW w:w="1212" w:type="dxa"/>
          </w:tcPr>
          <w:p>
            <w:pPr/>
            <w:r>
              <w:t xml:space="preserve">P2</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AIRK Explorer Plan v1.4 — Review and Recommendations</dc:title>
  <dc:description>Claude Docs node/b3fd7030-8216@13 docx-w7</dc:description>
  <cp:revision>13</cp:revision>
</cp:coreProperties>
</file>