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Ikirere Orbital Labs Africa" title="IOL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5A5A72"/>
          <w:spacing w:val="120"/>
          <w:sz w:val="20"/>
          <w:szCs w:val="20"/>
        </w:rPr>
        <w:t xml:space="preserve">IKIRERE ORBITAL LABS AFRICA</w:t>
      </w:r>
    </w:p>
    <w:p>
      <w:pPr>
        <w:spacing w:after="200" w:before="0"/>
      </w:pPr>
      <w:r>
        <w:t xml:space="preserve"/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0A0A1A"/>
          <w:sz w:val="52"/>
          <w:szCs w:val="52"/>
        </w:rPr>
        <w:t xml:space="preserve">OPEN PROBLEM STATEMENT</w:t>
      </w:r>
    </w:p>
    <w:p>
      <w:pPr>
        <w:pBdr>
          <w:bottom w:val="single" w:color="00C07A" w:sz="12" w:space="1"/>
        </w:pBdr>
        <w:spacing w:after="320" w:before="0"/>
        <w:jc w:val="center"/>
      </w:pPr>
      <w:r>
        <w:rPr>
          <w:rFonts w:ascii="Arial" w:cs="Arial" w:eastAsia="Arial" w:hAnsi="Arial"/>
          <w:b/>
          <w:bCs/>
          <w:color w:val="00C07A"/>
          <w:sz w:val="28"/>
          <w:szCs w:val="28"/>
        </w:rPr>
        <w:t xml:space="preserve">Real-Time Many-to-Many Conjunction Screening at Orbital Scale</w:t>
      </w:r>
    </w:p>
    <w:p>
      <w:pPr>
        <w:spacing w:after="3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A5A72"/>
          <w:sz w:val="22"/>
          <w:szCs w:val="22"/>
        </w:rPr>
        <w:t xml:space="preserve">Status: Open  ·  No publicly verifiable CPU solution exists</w:t>
      </w:r>
    </w:p>
    <w:p>
      <w:pPr>
        <w:spacing w:after="1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A5A72"/>
          <w:sz w:val="20"/>
          <w:szCs w:val="20"/>
        </w:rPr>
        <w:t xml:space="preserve">2026-05-22  ·  jason@ikirere.com  ·  ikirere.com</w:t>
      </w:r>
    </w:p>
    <w:p>
      <w:pPr>
        <w:spacing w:after="1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A5A72"/>
          <w:sz w:val="18"/>
          <w:szCs w:val="18"/>
        </w:rPr>
        <w:t xml:space="preserve">Deep Learning Indaba 2025 Winner  ·  INSEAD AI Venture Lab Fellow  ·  Google + NVIDIA Inception</w:t>
      </w:r>
    </w:p>
    <w:p>
      <w:pPr>
        <w:pageBreakBefore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The Problem in One Sentence</w:t>
      </w:r>
    </w:p>
    <w:p>
      <w:pPr>
        <w:pBdr>
          <w:bottom w:val="single" w:color="00C07A" w:sz="6" w:space="1"/>
        </w:pBdr>
        <w:spacing w:after="200" w:before="0"/>
      </w:pPr>
    </w:p>
    <w:p>
      <w:pPr>
        <w:spacing w:after="200" w:before="80"/>
      </w:pPr>
      <w:r>
        <w:rPr>
          <w:rFonts w:ascii="Arial" w:cs="Arial" w:eastAsia="Arial" w:hAnsi="Arial"/>
          <w:b/>
          <w:bCs/>
          <w:color w:val="0A0A1A"/>
          <w:sz w:val="26"/>
          <w:szCs w:val="26"/>
        </w:rPr>
        <w:t xml:space="preserve">Given a catalog of 15,000+ actively tracked orbital objects, compute all pairwise conjunction risks — including cascade-weighted orbital shell density — in under 100 milliseconds on commodity CPU hardware.</w:t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Background</w:t>
      </w:r>
    </w:p>
    <w:p>
      <w:pPr>
        <w:pBdr>
          <w:bottom w:val="single" w:color="00C07A" w:sz="6" w:space="1"/>
        </w:pBdr>
        <w:spacing w:after="200" w:before="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The Kessler Cascade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In 1978 Donald Kessler and Burton Cour-Palais described a cascade failure scenario that has since become the defining existential risk of orbital infrastructure: a collision in LEO generates debris, each fragment strikes other satellites, more debris, more collisions — until the orbital shell becomes self-sustaining in its own destruction.</w:t>
      </w:r>
    </w:p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This is not theoretical. The 2009 Iridium-Cosmos collision and the 2021 Cosmos-1408 ASAT test each generated thousands of fragments still in orbit today. The LEO shell between 400 and 600 km is approaching critical density.</w:t>
      </w:r>
    </w:p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i/>
          <w:iCs/>
          <w:color w:val="0D0D0D"/>
          <w:sz w:val="22"/>
          <w:szCs w:val="22"/>
        </w:rPr>
        <w:t xml:space="preserve">USSPACECOM currently tracks 27,000+ objects. An estimated 500,000 objects between 1 and 10 cm are untracked. A 1 cm fragment at orbital velocity carries the kinetic energy of a hand grenade.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The Screening Bottleneck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The pair count is not fixed — it grows with the catalog, which grows continuously: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2200"/>
        <w:gridCol w:w="15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Catalog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Raw Pairs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After Altitude Filter (~5%)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Est. Year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15,447 active (today)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119,267,631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~5,963,000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27,000 all tracked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364,486,500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~18,224,000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50,000 (SpaceX + Kuiper + growth)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1,249,975,000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~62,499,000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~2030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SpaceX has regulatory approval for 42,000 Starlinks. Amazon Kuiper: 3,236. OneWeb: 648. The problem does not stay at 112 million pairs. It reaches 1.25 billion. A solution that works today must be designed to scale to 2030 catalog sizes.</w:t>
      </w:r>
    </w:p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At 1 millisecond per surviving pair on CPU: 5.9 million pairs = 5,900 seconds = 98 minutes. The goal is 100ms total — requiring a 35,000x improvement over naive serial execution.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Current State of the Art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Space-Track (USSPACECOM)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8-hour cadence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Full catalog, batch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LeoLabs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&lt;30 seconds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Custom, proprietary architecture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jaxsgp4 (Cambridge, March 2026)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4ms on A100 GPU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Propagation only — not full pipeline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IOLA (this work)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~2 hours on CPU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Full pipeline, CPU, validated 6/6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jaxsgp4 (arxiv:2603.27830) solves propagation. Nobody has published the full pipeline — propagation + pairwise geometry + TCA + cascade-weighted risk scoring — at sub-second scale on CPU.</w:t>
      </w:r>
    </w:p>
    <w:p>
      <w:pPr>
        <w:spacing w:after="100" w:before="0"/>
      </w:pPr>
      <w:r>
        <w:t xml:space="preserve"/>
      </w:r>
    </w:p>
    <w:p>
      <w:pPr>
        <w:pageBreakBefore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Formal Problem Statement</w:t>
      </w:r>
    </w:p>
    <w:p>
      <w:pPr>
        <w:pBdr>
          <w:bottom w:val="single" w:color="00C07A" w:sz="6" w:space="1"/>
        </w:pBdr>
        <w:spacing w:after="200" w:before="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Input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 catalog C of n orbital objects, each defined by: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 Two-Line Element set (TLE): name, line 1, line 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Derived state vector at epoch t₀: position r = (x, y, z) km ECI, velocity v = (vx, vy, vz) km/s ECI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Atmospheric drag coefficient B* (from TLE)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TLE epoch timestamp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Required Output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For every pair (i, j) where i &lt; j and |altitude_i - altitude_j| &lt; 200 km: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Time of Closest Approach (TCA) — UTC timestamp accurate to ±2 seconds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Miss distance at TCA — in km, accurate to ±1 km for LEO objects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Composite risk score [0,1] incorporating: miss distance, relative velocity, time urgency, collision probability, TLE age uncertainty, orbital shell density (cascade factor)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Conjunction Data Message (CDM) — structured advisory, CCSDS 508.0-B-1 mappable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Ranked list sorted by composite risk score, highest first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Performance Requirement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Total screening time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&lt; 100 milliseconds for n = 15,000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TCA accuracy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±2 seconds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Miss distance accuracy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±1 km for LEO (altitude &lt; 2,000 km)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Output completeness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All pairs with altitude separation &lt; 200 km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Hardware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Commodity CPU — any modern server or laptop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Bdr>
          <w:left w:val="single" w:color="00C07A" w:sz="12" w:space="180"/>
        </w:pBdr>
        <w:spacing w:after="200" w:before="120"/>
        <w:ind w:left="360"/>
      </w:pPr>
      <w:r>
        <w:rPr>
          <w:rFonts w:ascii="Arial" w:cs="Arial" w:eastAsia="Arial" w:hAnsi="Arial"/>
          <w:i/>
          <w:iCs/>
          <w:color w:val="5A5A72"/>
          <w:sz w:val="22"/>
          <w:szCs w:val="22"/>
        </w:rPr>
        <w:t xml:space="preserve">Why CPU, not GPU: GPU at sub-100ms is within reach (Cambridge 4ms on A100). GPU access is expensive and unavailable to most satellite operators, university labs, and researchers in emerging markets. A CPU solution runs on any ground station, any laptop, any cloud VM. That is the democratising result.</w:t>
      </w:r>
    </w:p>
    <w:p>
      <w:pPr>
        <w:pageBreakBefore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Why This Is Hard</w:t>
      </w:r>
    </w:p>
    <w:p>
      <w:pPr>
        <w:pBdr>
          <w:bottom w:val="single" w:color="00C07A" w:sz="6" w:space="1"/>
        </w:pBdr>
        <w:spacing w:after="200" w:before="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5A5A72"/>
        </w:rPr>
        <w:t xml:space="preserve">1. Propagation at Scale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Each satellite must be propagated to multiple future time points using SGP4/SDP4. jaxsgp4 (Cambridge, 2026) solves this on GPU. The CPU equivalent — without hardware parallelism — requires vectorised batch evaluation using sgp4_array() and numpy, and has not been done at sub-second scale for 15k+ objects.</w:t>
      </w:r>
    </w:p>
    <w:p>
      <w:pPr>
        <w:spacing w:after="10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5A5A72"/>
        </w:rPr>
        <w:t xml:space="preserve">2. Pairwise Geometry at Scale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112 million pairs. Even with the 200 km altitude pre-filter (eliminating ~95%), the surviving ~5.6 million pairs each require distance computation and a TCA search across a 72-hour window at 60-second resolution = 4,320 time steps per pair. 5.6M × 4,320 = 24 billion evaluations. This requires fully vectorised execution across all pairs simultaneously.</w:t>
      </w:r>
    </w:p>
    <w:p>
      <w:pPr>
        <w:spacing w:after="10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5A5A72"/>
        </w:rPr>
        <w:t xml:space="preserve">3. Novel Risk Scoring at Scale</w:t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The composite risk score includes an orbital shell density factor — a function of how many objects share the altitude band of the conjunction. Computing this naively requires querying the full catalog for each pair. A histogram pre-computation reduces it to O(n) setup + O(1) lookup per pair. This must be integrated into the same vectorised pass.</w:t>
      </w:r>
    </w:p>
    <w:p>
      <w:pPr>
        <w:spacing w:after="10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What Exists vs. What Is Unsolved</w:t>
      </w:r>
    </w:p>
    <w:p>
      <w:pPr>
        <w:pBdr>
          <w:bottom w:val="single" w:color="00C07A" w:sz="6" w:space="1"/>
        </w:pBdr>
        <w:spacing w:after="2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41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Reference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GPU-accelerated SGP4 propagation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Solved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jaxsgp4, arxiv:2603.27830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CUDA parallel orbit propagation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Solved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Advances in Space Research, 2023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Browser-based GPU SGP4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Solved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sgp4.gl, Kayhan Space, 2025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CPU numpy vectorised propagation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Partial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sgp4_array() available, not at scale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Full pairwise conjunction pipeline on CPU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Unsolved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Cascade-weighted risk scoring at scale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Unsolved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Sub-100ms end-to-end CPU screening 15k+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Unsolved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ageBreakBefore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IOLA's Current Implementation</w:t>
      </w:r>
    </w:p>
    <w:p>
      <w:pPr>
        <w:pBdr>
          <w:bottom w:val="single" w:color="00C07A" w:sz="6" w:space="1"/>
        </w:pBdr>
        <w:spacing w:after="200" w:before="0"/>
      </w:pP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IOLA has implemented the full conjunction screening pipeline in Python, correctly and with novel risk scoring. Validated 6/6 on real satellite data (2026-05-22T17:04:46Z).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Key Validation Results (Real Orbital Data)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13 real conjunctions found in a 500-satellite sample in 231ms on CPU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ISS ZARYA vs ISS UNITY: 0.000 km miss distance, CRITICAL — co-orbiting modules correctly identified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Phase B SGP4 bisection confirmed (tca_refined=True) on real TLE lines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Shell density factor = 1.0 for LEO conjunctions (Kessler cascade factor working on real data)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Full production CDM generated for real ISS vs Starlink-1008 pair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E1E3A"/>
        </w:rPr>
        <w:t xml:space="preserve">The Novel 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compute_tle_age_uncertainty_km() — bstar-weighted quadratic uncertainty: σ(t) = σ₀ + k × (|B*| / B*_nominal) × age²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compute_orbital_shell_density() — Kessler cascade factor from live catalog population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compute_composite_risk_score() — 6-component weighted risk formula including both novel terms</w:t>
      </w:r>
    </w:p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The gap: ~2 hours (current CPU) to &lt;100ms (target) is a computational architecture problem, not an algorithm problem. The algorithm is correct. It needs vectorisation.</w:t>
      </w:r>
    </w:p>
    <w:p>
      <w:pPr>
        <w:spacing w:after="10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The Research Contribution</w:t>
      </w:r>
    </w:p>
    <w:p>
      <w:pPr>
        <w:pBdr>
          <w:bottom w:val="single" w:color="00C07A" w:sz="6" w:space="1"/>
        </w:pBdr>
        <w:spacing w:after="200" w:before="0"/>
      </w:pP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 solution would produce: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 CPU-native conjunction screening pipeline that processes the full LEO catalog in under 100ms — the first publicly verifiable implementation at this scale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Real-time Kessler cascade risk scoring — not just pairwise Pc (USSPACECOM standard) but cascade-weighted orbital shell risk reflecting true consequence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 foundation for autonomous orbital coordination — millisecond screening enables onboard real-time conjunction awareness, the prerequisite for IkirereMesh Phase 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A research paper targeting ICML, NeurIPS, or IEEE Aerospace Conference</w:t>
      </w:r>
    </w:p>
    <w:p>
      <w:pPr>
        <w:spacing w:after="100" w:before="0"/>
      </w:pPr>
      <w:r>
        <w:t xml:space="preserve"/>
      </w:r>
    </w:p>
    <w:p>
      <w:pPr>
        <w:pageBreakBefore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Invitation</w:t>
      </w:r>
    </w:p>
    <w:p>
      <w:pPr>
        <w:pBdr>
          <w:bottom w:val="single" w:color="00C07A" w:sz="6" w:space="1"/>
        </w:pBdr>
        <w:spacing w:after="200" w:before="0"/>
      </w:pP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IOLA is building this system. We are looking for:</w:t>
      </w:r>
    </w:p>
    <w:p>
      <w:pPr>
        <w:spacing w:after="10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Research collaborators — CPU systems researchers, astrodynamicists, ML engineers at the intersection of orbital mechanics and real-time systems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Compute contributors — access to high-core-count CPU time for benchmarking and validation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Co-authors — for the research paper targeting ICML/NeurIPS/IEEE Aerospace</w:t>
      </w:r>
    </w:p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If you have solved a component of this problem, are working on it, or want to reach out: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Jason Quist — Founder &amp; CEO, Ikirere Orbital Labs Africa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Email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jason@ikirere.com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Website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ikirere.com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Recognition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Deep Learning Indaba 2025 Winner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Fellowship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INSEAD AI Venture Lab Fellow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Programs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Google + NVIDIA Inception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1A"/>
        </w:rPr>
        <w:t xml:space="preserve">References</w:t>
      </w:r>
    </w:p>
    <w:p>
      <w:pPr>
        <w:pBdr>
          <w:bottom w:val="single" w:color="00C07A" w:sz="6" w:space="1"/>
        </w:pBdr>
        <w:spacing w:after="20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Kessler, D.J. and Cour-Palais, B.G. (1978). Collision Frequency of Artificial Satellites. Journal of Geophysical Research.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jaxsgp4 (2026). GPU-Accelerated SGP4 Propagation. arxiv:2603.27830. Cambridge University.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Hoots, F.R. and Roehrich, R.L. (1980). Models for Propagation of NORAD Element Sets. Spacetrack Report No. 3.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CCSDS 508.0-B-1 (2013). Conjunction Data Message. Consultative Committee for Space Data Systems.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D0D0D"/>
          <w:sz w:val="22"/>
          <w:szCs w:val="22"/>
        </w:rPr>
        <w:t xml:space="preserve">Vallado, D.A. (2013). Fundamentals of Astrodynamics and Applications. 4th ed. Microcosm Press.</w:t>
      </w:r>
    </w:p>
    <w:p>
      <w:pPr>
        <w:spacing w:after="200" w:before="0"/>
      </w:pPr>
      <w: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i/>
          <w:iCs/>
          <w:color w:val="00C07A"/>
          <w:sz w:val="22"/>
          <w:szCs w:val="22"/>
        </w:rPr>
        <w:t xml:space="preserve">Software first.  Hardware second.  Space third.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C07A" w:sz="4" w:space="1"/>
      </w:pBdr>
      <w:tabs>
        <w:tab w:val="right" w:pos="8640"/>
      </w:tabs>
    </w:pPr>
    <w:r>
      <w:rPr>
        <w:rFonts w:ascii="Arial" w:cs="Arial" w:eastAsia="Arial" w:hAnsi="Arial"/>
        <w:color w:val="5A5A72"/>
        <w:sz w:val="16"/>
        <w:szCs w:val="16"/>
      </w:rPr>
      <w:t xml:space="preserve">ikirere.com  ·  jason@ikirere.com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A5A72"/>
        <w:sz w:val="16"/>
        <w:szCs w:val="16"/>
      </w:rPr>
      <w:t xml:space="preserve">Page </w:t>
    </w:r>
    <w:r>
      <w:rPr>
        <w:rFonts w:ascii="Arial" w:cs="Arial" w:eastAsia="Arial" w:hAnsi="Arial"/>
        <w:color w:val="5A5A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C07A" w:sz="6" w:space="1"/>
      </w:pBdr>
      <w:tabs>
        <w:tab w:val="right" w:pos="8640"/>
      </w:tabs>
    </w:pPr>
    <w:r>
      <w:rPr>
        <w:rFonts w:ascii="Arial" w:cs="Arial" w:eastAsia="Arial" w:hAnsi="Arial"/>
        <w:color w:val="5A5A72"/>
        <w:sz w:val="18"/>
        <w:szCs w:val="18"/>
      </w:rPr>
      <w:t xml:space="preserve">IOLA  ·  Open Problem Statement  ·  2026</w:t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266700" cy="266700"/>
          <wp:effectExtent t="0" r="0" b="0" l="0"/>
          <wp:docPr id="1" name="hdr-logo" descr="IOLA" title="IOL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D0D0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0A0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1E1E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A5A7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eca7e190861571044e2fd2823c0931de80d55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deca7e190861571044e2fd2823c0931de80d55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2026-05-22T17:23:55.506Z</dcterms:created>
  <dcterms:modified xsi:type="dcterms:W3CDTF">2026-05-22T17:23:55.507Z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